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83ACE" w14:textId="51F8CF0D" w:rsidR="00415491" w:rsidRPr="00DA3F64" w:rsidRDefault="00415491" w:rsidP="0069558F">
      <w:pPr>
        <w:spacing w:after="160" w:line="259" w:lineRule="auto"/>
        <w:jc w:val="center"/>
        <w:rPr>
          <w:rFonts w:eastAsia="Calibri"/>
          <w:b/>
        </w:rPr>
      </w:pPr>
      <w:r w:rsidRPr="00DA3F64">
        <w:rPr>
          <w:rFonts w:eastAsia="Calibri"/>
          <w:b/>
        </w:rPr>
        <w:t>PARAM</w:t>
      </w:r>
      <w:r w:rsidR="001C690C">
        <w:rPr>
          <w:rFonts w:eastAsia="Calibri"/>
          <w:b/>
        </w:rPr>
        <w:t>A</w:t>
      </w:r>
      <w:r w:rsidRPr="00DA3F64">
        <w:rPr>
          <w:rFonts w:eastAsia="Calibri"/>
          <w:b/>
        </w:rPr>
        <w:t xml:space="preserve"> BŪSTUI ĮSIGYTI AR IŠSINUOMOTI</w:t>
      </w:r>
    </w:p>
    <w:p w14:paraId="5BF57173" w14:textId="14B44FB5" w:rsidR="00415491" w:rsidRPr="00C00F82" w:rsidRDefault="00415491" w:rsidP="00415491">
      <w:pPr>
        <w:ind w:firstLine="851"/>
        <w:jc w:val="both"/>
        <w:rPr>
          <w:rFonts w:eastAsia="Calibri"/>
        </w:rPr>
      </w:pPr>
      <w:r w:rsidRPr="00443D7C">
        <w:rPr>
          <w:rFonts w:eastAsia="Calibri"/>
        </w:rPr>
        <w:t>20</w:t>
      </w:r>
      <w:r>
        <w:rPr>
          <w:rFonts w:eastAsia="Calibri"/>
        </w:rPr>
        <w:t>2</w:t>
      </w:r>
      <w:r w:rsidR="001D7B7E">
        <w:rPr>
          <w:rFonts w:eastAsia="Calibri"/>
        </w:rPr>
        <w:t>2</w:t>
      </w:r>
      <w:r w:rsidRPr="00443D7C">
        <w:rPr>
          <w:rFonts w:eastAsia="Calibri"/>
        </w:rPr>
        <w:t xml:space="preserve"> metais priimt</w:t>
      </w:r>
      <w:r w:rsidR="00DF2A73">
        <w:rPr>
          <w:rFonts w:eastAsia="Calibri"/>
        </w:rPr>
        <w:t>i</w:t>
      </w:r>
      <w:r w:rsidRPr="00443D7C">
        <w:rPr>
          <w:rFonts w:eastAsia="Calibri"/>
        </w:rPr>
        <w:t xml:space="preserve"> ir vertint</w:t>
      </w:r>
      <w:r w:rsidR="00DF2A73">
        <w:rPr>
          <w:rFonts w:eastAsia="Calibri"/>
        </w:rPr>
        <w:t>i 105</w:t>
      </w:r>
      <w:r>
        <w:rPr>
          <w:rFonts w:eastAsia="Calibri"/>
        </w:rPr>
        <w:t xml:space="preserve"> </w:t>
      </w:r>
      <w:r w:rsidRPr="00443D7C">
        <w:rPr>
          <w:rFonts w:eastAsia="Calibri"/>
        </w:rPr>
        <w:t xml:space="preserve"> prašym</w:t>
      </w:r>
      <w:r>
        <w:rPr>
          <w:rFonts w:eastAsia="Calibri"/>
        </w:rPr>
        <w:t>a</w:t>
      </w:r>
      <w:r w:rsidR="00DF2A73">
        <w:rPr>
          <w:rFonts w:eastAsia="Calibri"/>
        </w:rPr>
        <w:t>i</w:t>
      </w:r>
      <w:r w:rsidRPr="00443D7C">
        <w:rPr>
          <w:rFonts w:eastAsia="Calibri"/>
        </w:rPr>
        <w:t xml:space="preserve"> į</w:t>
      </w:r>
      <w:r>
        <w:rPr>
          <w:rFonts w:eastAsia="Calibri"/>
        </w:rPr>
        <w:t>rašyti į savivaldybėje sudaromą</w:t>
      </w:r>
      <w:r w:rsidRPr="00443D7C">
        <w:rPr>
          <w:rFonts w:eastAsia="Calibri"/>
        </w:rPr>
        <w:t xml:space="preserve"> </w:t>
      </w:r>
      <w:r>
        <w:rPr>
          <w:rFonts w:eastAsia="Calibri"/>
        </w:rPr>
        <w:t>sąrašą</w:t>
      </w:r>
      <w:r w:rsidRPr="00C00F82">
        <w:rPr>
          <w:rFonts w:eastAsia="Calibri"/>
        </w:rPr>
        <w:t xml:space="preserve"> </w:t>
      </w:r>
      <w:r>
        <w:rPr>
          <w:rFonts w:eastAsia="Calibri"/>
        </w:rPr>
        <w:t>A</w:t>
      </w:r>
      <w:r w:rsidRPr="00C00F82">
        <w:rPr>
          <w:rFonts w:eastAsia="Calibri"/>
        </w:rPr>
        <w:t>smenų ir šeimų,  turinčių teisę į socialinio būsto nuomą</w:t>
      </w:r>
      <w:r>
        <w:rPr>
          <w:rFonts w:eastAsia="Calibri"/>
        </w:rPr>
        <w:t xml:space="preserve">, iš kurių patenkinti – </w:t>
      </w:r>
      <w:r w:rsidR="00DF2A73">
        <w:rPr>
          <w:rFonts w:eastAsia="Calibri"/>
        </w:rPr>
        <w:t>83</w:t>
      </w:r>
      <w:r>
        <w:rPr>
          <w:rFonts w:eastAsia="Calibri"/>
        </w:rPr>
        <w:t xml:space="preserve">. </w:t>
      </w:r>
      <w:r w:rsidRPr="00C00F82">
        <w:rPr>
          <w:rFonts w:eastAsia="Calibri"/>
        </w:rPr>
        <w:t>P</w:t>
      </w:r>
      <w:r>
        <w:rPr>
          <w:rFonts w:eastAsia="Calibri"/>
        </w:rPr>
        <w:t>er tuos pačius metus iš sąrašo</w:t>
      </w:r>
      <w:r w:rsidRPr="00C00F82">
        <w:rPr>
          <w:rFonts w:eastAsia="Calibri"/>
        </w:rPr>
        <w:t xml:space="preserve"> išbraukt</w:t>
      </w:r>
      <w:r w:rsidR="00B55A0A">
        <w:rPr>
          <w:rFonts w:eastAsia="Calibri"/>
        </w:rPr>
        <w:t>os</w:t>
      </w:r>
      <w:r>
        <w:rPr>
          <w:rFonts w:eastAsia="Calibri"/>
        </w:rPr>
        <w:t xml:space="preserve"> </w:t>
      </w:r>
      <w:r w:rsidR="00B55A0A">
        <w:rPr>
          <w:rFonts w:eastAsia="Calibri"/>
        </w:rPr>
        <w:t>2</w:t>
      </w:r>
      <w:r w:rsidR="00602965">
        <w:rPr>
          <w:rFonts w:eastAsia="Calibri"/>
        </w:rPr>
        <w:t>2</w:t>
      </w:r>
      <w:r>
        <w:rPr>
          <w:rFonts w:eastAsia="Calibri"/>
        </w:rPr>
        <w:t xml:space="preserve"> </w:t>
      </w:r>
      <w:r w:rsidRPr="00C00F82">
        <w:rPr>
          <w:rFonts w:eastAsia="Calibri"/>
        </w:rPr>
        <w:t>šeim</w:t>
      </w:r>
      <w:r w:rsidR="00B55A0A">
        <w:rPr>
          <w:rFonts w:eastAsia="Calibri"/>
        </w:rPr>
        <w:t>os</w:t>
      </w:r>
      <w:r>
        <w:rPr>
          <w:rFonts w:eastAsia="Calibri"/>
        </w:rPr>
        <w:t xml:space="preserve"> (asmuo be šeimos)</w:t>
      </w:r>
      <w:r w:rsidRPr="00C00F82">
        <w:rPr>
          <w:rFonts w:eastAsia="Calibri"/>
        </w:rPr>
        <w:t>, kuri</w:t>
      </w:r>
      <w:r w:rsidR="002F00DA">
        <w:rPr>
          <w:rFonts w:eastAsia="Calibri"/>
        </w:rPr>
        <w:t xml:space="preserve">oms </w:t>
      </w:r>
      <w:r w:rsidRPr="00C00F82">
        <w:rPr>
          <w:rFonts w:eastAsia="Calibri"/>
        </w:rPr>
        <w:t>socialinis būstas nesuteiktas.</w:t>
      </w:r>
    </w:p>
    <w:p w14:paraId="198DB147" w14:textId="230D5A98" w:rsidR="00415491" w:rsidRDefault="00415491" w:rsidP="00415491">
      <w:pPr>
        <w:ind w:firstLine="851"/>
        <w:jc w:val="both"/>
        <w:rPr>
          <w:rFonts w:eastAsia="Calibri"/>
        </w:rPr>
      </w:pPr>
      <w:r>
        <w:rPr>
          <w:rFonts w:eastAsia="Calibri"/>
        </w:rPr>
        <w:t>202</w:t>
      </w:r>
      <w:r w:rsidR="00602965">
        <w:rPr>
          <w:rFonts w:eastAsia="Calibri"/>
        </w:rPr>
        <w:t>3</w:t>
      </w:r>
      <w:r>
        <w:rPr>
          <w:rFonts w:eastAsia="Calibri"/>
        </w:rPr>
        <w:t xml:space="preserve"> m. sausio 1 d. sąraše A</w:t>
      </w:r>
      <w:r w:rsidRPr="00C00F82">
        <w:rPr>
          <w:rFonts w:eastAsia="Calibri"/>
        </w:rPr>
        <w:t>smenų ir šeimų,  turinčių teisę į socialinio būsto nuomą</w:t>
      </w:r>
      <w:r>
        <w:rPr>
          <w:rFonts w:eastAsia="Calibri"/>
        </w:rPr>
        <w:t xml:space="preserve">, yra įrašytos </w:t>
      </w:r>
      <w:r w:rsidR="002F2DE8">
        <w:rPr>
          <w:rFonts w:eastAsia="Calibri"/>
        </w:rPr>
        <w:t>98</w:t>
      </w:r>
      <w:r>
        <w:rPr>
          <w:rFonts w:eastAsia="Calibri"/>
        </w:rPr>
        <w:t xml:space="preserve"> šeimos.</w:t>
      </w:r>
    </w:p>
    <w:p w14:paraId="0EE44F21" w14:textId="77777777" w:rsidR="009D6877" w:rsidRDefault="009D6877" w:rsidP="00415491">
      <w:pPr>
        <w:ind w:firstLine="851"/>
        <w:jc w:val="both"/>
        <w:rPr>
          <w:rFonts w:eastAsia="Calibri"/>
        </w:rPr>
      </w:pPr>
    </w:p>
    <w:p w14:paraId="6287E7D5" w14:textId="77777777" w:rsidR="00415491" w:rsidRDefault="00415491" w:rsidP="00415491">
      <w:pPr>
        <w:jc w:val="center"/>
        <w:rPr>
          <w:rFonts w:eastAsia="Calibri"/>
        </w:rPr>
      </w:pPr>
      <w:r>
        <w:rPr>
          <w:noProof/>
          <w:lang w:eastAsia="lt-LT"/>
        </w:rPr>
        <w:drawing>
          <wp:inline distT="0" distB="0" distL="0" distR="0" wp14:anchorId="023D45BA" wp14:editId="5F60E402">
            <wp:extent cx="5076443" cy="2618121"/>
            <wp:effectExtent l="0" t="0" r="0" b="0"/>
            <wp:docPr id="1" name="Objektas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EE2B1C" w14:textId="77777777" w:rsidR="00765A46" w:rsidRPr="00765A46" w:rsidRDefault="00F9742A" w:rsidP="00765A46">
      <w:pPr>
        <w:spacing w:before="100" w:beforeAutospacing="1"/>
        <w:ind w:firstLine="1296"/>
        <w:jc w:val="both"/>
        <w:rPr>
          <w:rFonts w:eastAsia="Calibri"/>
        </w:rPr>
      </w:pPr>
      <w:r w:rsidRPr="00F9742A">
        <w:rPr>
          <w:rFonts w:eastAsia="Calibri"/>
        </w:rPr>
        <w:t xml:space="preserve">Ukmergės rajono savivaldybė viena iš tų, kur socialinio būsto laukia mažiausiai šeimų/asmenų ir pastaruosius </w:t>
      </w:r>
      <w:r>
        <w:rPr>
          <w:rFonts w:eastAsia="Calibri"/>
        </w:rPr>
        <w:t>ketverius</w:t>
      </w:r>
      <w:r w:rsidRPr="00F9742A">
        <w:rPr>
          <w:rFonts w:eastAsia="Calibri"/>
        </w:rPr>
        <w:t xml:space="preserve"> metus socialinio būsto laukiančiųjų skaičius išlieka gana stabilus. Laikotarpiu nuo 2013 m. iki 2022 m. asmenų ir šeimų, turinčių teisę į paramą būstui išsinuomoti, sąrašuose sumažėjo nuo 312 šeimų iki </w:t>
      </w:r>
      <w:r w:rsidR="00D53AB2">
        <w:rPr>
          <w:rFonts w:eastAsia="Calibri"/>
        </w:rPr>
        <w:t>98</w:t>
      </w:r>
      <w:r w:rsidRPr="00F9742A">
        <w:rPr>
          <w:rFonts w:eastAsia="Calibri"/>
        </w:rPr>
        <w:t xml:space="preserve"> šeimų. </w:t>
      </w:r>
      <w:r w:rsidR="005032BD">
        <w:rPr>
          <w:rFonts w:eastAsia="Calibri"/>
        </w:rPr>
        <w:t>Ilgiausiai eilėje laukianti šeima į sąrašą  įrašyta 2020 m. balandžio 14 d. prašymu</w:t>
      </w:r>
      <w:r w:rsidR="00467D04">
        <w:rPr>
          <w:rFonts w:eastAsia="Calibri"/>
        </w:rPr>
        <w:t xml:space="preserve">, tačiau šeimai būstas nėra nuomojamas dėl objektyvių priežasčių, pareiškėjui pateikus motyvuotą prašymą. </w:t>
      </w:r>
      <w:r w:rsidR="00765A46" w:rsidRPr="00765A46">
        <w:rPr>
          <w:rFonts w:eastAsia="Calibri"/>
        </w:rPr>
        <w:t>Vidutinė socialinio būsto laukimo trukmė yra 2-2,5 metų.</w:t>
      </w:r>
    </w:p>
    <w:p w14:paraId="7B7FBC35" w14:textId="6A3EC434" w:rsidR="00F9742A" w:rsidRPr="00F9742A" w:rsidRDefault="00D81E6A" w:rsidP="00F9742A">
      <w:pPr>
        <w:spacing w:before="100" w:beforeAutospacing="1"/>
        <w:ind w:firstLine="1296"/>
        <w:jc w:val="both"/>
        <w:rPr>
          <w:rFonts w:eastAsia="Calibri"/>
        </w:rPr>
      </w:pPr>
      <w:r>
        <w:rPr>
          <w:rFonts w:eastAsia="Calibri"/>
          <w:noProof/>
        </w:rPr>
        <w:drawing>
          <wp:inline distT="0" distB="0" distL="0" distR="0" wp14:anchorId="5B66AB56" wp14:editId="0DA79AF6">
            <wp:extent cx="4921885" cy="2875836"/>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2968" cy="2893998"/>
                    </a:xfrm>
                    <a:prstGeom prst="rect">
                      <a:avLst/>
                    </a:prstGeom>
                    <a:noFill/>
                  </pic:spPr>
                </pic:pic>
              </a:graphicData>
            </a:graphic>
          </wp:inline>
        </w:drawing>
      </w:r>
    </w:p>
    <w:p w14:paraId="77D8BE96" w14:textId="73DDD41D" w:rsidR="0034121C" w:rsidRPr="0034121C" w:rsidRDefault="00A21D3B" w:rsidP="0034121C">
      <w:pPr>
        <w:spacing w:before="100" w:beforeAutospacing="1"/>
        <w:ind w:firstLine="1296"/>
        <w:jc w:val="both"/>
        <w:rPr>
          <w:rFonts w:eastAsia="Calibri"/>
        </w:rPr>
      </w:pPr>
      <w:r w:rsidRPr="00A21D3B">
        <w:rPr>
          <w:rFonts w:eastAsia="Calibri"/>
        </w:rPr>
        <w:t xml:space="preserve">2022 m. Ukmergės rajono savivaldybės būstų fondo sąrašas pasipildė 7 būstais, kurių bendras plotas sudarė 311,86 kv. m. Iš jų 6 būstai </w:t>
      </w:r>
      <w:r>
        <w:rPr>
          <w:rFonts w:eastAsia="Calibri"/>
        </w:rPr>
        <w:t>buvo</w:t>
      </w:r>
      <w:r w:rsidRPr="00A21D3B">
        <w:rPr>
          <w:rFonts w:eastAsia="Calibri"/>
        </w:rPr>
        <w:t xml:space="preserve"> nupirkti įgyvendinant projektą „Socialinio būsto plėtra Ukmergės rajono savivaldybėje“. </w:t>
      </w:r>
      <w:r w:rsidR="00944DD9">
        <w:rPr>
          <w:rFonts w:eastAsia="Calibri"/>
        </w:rPr>
        <w:t>202</w:t>
      </w:r>
      <w:r w:rsidR="00AA6259">
        <w:rPr>
          <w:rFonts w:eastAsia="Calibri"/>
        </w:rPr>
        <w:t>3</w:t>
      </w:r>
      <w:r w:rsidR="00944DD9">
        <w:rPr>
          <w:rFonts w:eastAsia="Calibri"/>
        </w:rPr>
        <w:t xml:space="preserve"> m. sausio 1 d. socialinio būsto fondo sąraše buvo 3</w:t>
      </w:r>
      <w:r w:rsidR="009F75F2">
        <w:rPr>
          <w:rFonts w:eastAsia="Calibri"/>
        </w:rPr>
        <w:t>44</w:t>
      </w:r>
      <w:r w:rsidR="00944DD9">
        <w:rPr>
          <w:rFonts w:eastAsia="Calibri"/>
        </w:rPr>
        <w:t xml:space="preserve"> būsta</w:t>
      </w:r>
      <w:r w:rsidR="009F75F2">
        <w:rPr>
          <w:rFonts w:eastAsia="Calibri"/>
        </w:rPr>
        <w:t>i</w:t>
      </w:r>
      <w:r w:rsidR="00944DD9">
        <w:rPr>
          <w:rFonts w:eastAsia="Calibri"/>
        </w:rPr>
        <w:t>.</w:t>
      </w:r>
      <w:r w:rsidR="00445BC0" w:rsidRPr="00445BC0">
        <w:rPr>
          <w:rFonts w:eastAsia="Calibri"/>
        </w:rPr>
        <w:t xml:space="preserve"> </w:t>
      </w:r>
      <w:r w:rsidR="0034121C" w:rsidRPr="0034121C">
        <w:rPr>
          <w:rFonts w:eastAsia="Calibri"/>
        </w:rPr>
        <w:t>Didžiausias poreikis išlieka vieno kambario būstų, nes iš 98 socialinio būsto nuomos laukiančių pareiškėjų net 7</w:t>
      </w:r>
      <w:r w:rsidR="00816185">
        <w:rPr>
          <w:rFonts w:eastAsia="Calibri"/>
        </w:rPr>
        <w:t>0</w:t>
      </w:r>
      <w:r w:rsidR="0034121C" w:rsidRPr="0034121C">
        <w:rPr>
          <w:rFonts w:eastAsia="Calibri"/>
        </w:rPr>
        <w:t xml:space="preserve"> yra asm</w:t>
      </w:r>
      <w:r w:rsidR="00816185">
        <w:rPr>
          <w:rFonts w:eastAsia="Calibri"/>
        </w:rPr>
        <w:t>enų</w:t>
      </w:r>
      <w:r w:rsidR="0034121C" w:rsidRPr="0034121C">
        <w:rPr>
          <w:rFonts w:eastAsia="Calibri"/>
        </w:rPr>
        <w:t xml:space="preserve"> be šeimos. </w:t>
      </w:r>
    </w:p>
    <w:p w14:paraId="0B43048C" w14:textId="77777777" w:rsidR="00F352BA" w:rsidRDefault="00F352BA" w:rsidP="00CF1243">
      <w:pPr>
        <w:ind w:firstLine="1296"/>
        <w:jc w:val="both"/>
        <w:rPr>
          <w:rFonts w:eastAsia="Calibri"/>
        </w:rPr>
      </w:pPr>
    </w:p>
    <w:p w14:paraId="067B0FF3" w14:textId="0C22B021" w:rsidR="002C5D19" w:rsidRPr="00F9742A" w:rsidRDefault="002C5D19" w:rsidP="00CF1243">
      <w:pPr>
        <w:ind w:firstLine="1296"/>
        <w:jc w:val="both"/>
        <w:rPr>
          <w:rFonts w:eastAsia="Calibri"/>
        </w:rPr>
      </w:pPr>
      <w:r w:rsidRPr="00F9742A">
        <w:rPr>
          <w:rFonts w:eastAsia="Calibri"/>
        </w:rPr>
        <w:lastRenderedPageBreak/>
        <w:t>Ukmergės rajono savivaldybėje 202</w:t>
      </w:r>
      <w:r w:rsidR="000C4E2C">
        <w:rPr>
          <w:rFonts w:eastAsia="Calibri"/>
        </w:rPr>
        <w:t>2</w:t>
      </w:r>
      <w:r w:rsidRPr="00F9742A">
        <w:rPr>
          <w:rFonts w:eastAsia="Calibri"/>
        </w:rPr>
        <w:t xml:space="preserve"> m. naujai išnuomot</w:t>
      </w:r>
      <w:r w:rsidR="00FC49E1">
        <w:rPr>
          <w:rFonts w:eastAsia="Calibri"/>
        </w:rPr>
        <w:t>a</w:t>
      </w:r>
      <w:r w:rsidRPr="00F9742A">
        <w:rPr>
          <w:rFonts w:eastAsia="Calibri"/>
        </w:rPr>
        <w:t xml:space="preserve"> </w:t>
      </w:r>
      <w:r w:rsidR="00FC49E1">
        <w:rPr>
          <w:rFonts w:eastAsia="Calibri"/>
        </w:rPr>
        <w:t>30</w:t>
      </w:r>
      <w:r w:rsidRPr="00F9742A">
        <w:rPr>
          <w:rFonts w:eastAsia="Calibri"/>
        </w:rPr>
        <w:t xml:space="preserve"> socialini</w:t>
      </w:r>
      <w:r w:rsidR="00FC49E1">
        <w:rPr>
          <w:rFonts w:eastAsia="Calibri"/>
        </w:rPr>
        <w:t>ų</w:t>
      </w:r>
      <w:r w:rsidRPr="00F9742A">
        <w:rPr>
          <w:rFonts w:eastAsia="Calibri"/>
        </w:rPr>
        <w:t xml:space="preserve"> būst</w:t>
      </w:r>
      <w:r w:rsidR="00FC49E1">
        <w:rPr>
          <w:rFonts w:eastAsia="Calibri"/>
        </w:rPr>
        <w:t xml:space="preserve">ų, iš kurių vienas būstas, vadovaujantis  </w:t>
      </w:r>
      <w:r w:rsidR="00FC49E1">
        <w:rPr>
          <w:color w:val="000000"/>
        </w:rPr>
        <w:t>Lietuvos Respublikos Paramos būstui įsigyti ar išsinuomoti įstatymo 16 straipsnio 8 dalies 2 punktu,</w:t>
      </w:r>
      <w:r w:rsidR="00FC49E1">
        <w:rPr>
          <w:rFonts w:eastAsia="Calibri"/>
        </w:rPr>
        <w:t xml:space="preserve"> buvo išnuomotas asmeniui, neįrašytam į sąrašą Asmenų ir šeimų, turinčių teisę į socialinio būsto nuomą.</w:t>
      </w:r>
      <w:r>
        <w:rPr>
          <w:rFonts w:eastAsia="Calibri"/>
        </w:rPr>
        <w:t xml:space="preserve"> </w:t>
      </w:r>
    </w:p>
    <w:p w14:paraId="17D16BB0" w14:textId="06CDF8C0" w:rsidR="0005718D" w:rsidRPr="0005718D" w:rsidRDefault="00FC49E1" w:rsidP="0005718D">
      <w:pPr>
        <w:ind w:firstLine="1276"/>
        <w:jc w:val="both"/>
        <w:rPr>
          <w:rFonts w:eastAsia="Calibri"/>
        </w:rPr>
      </w:pPr>
      <w:r>
        <w:rPr>
          <w:rFonts w:eastAsia="Calibri"/>
        </w:rPr>
        <w:t>Vienam s</w:t>
      </w:r>
      <w:r w:rsidR="0005718D" w:rsidRPr="0005718D">
        <w:rPr>
          <w:rFonts w:eastAsia="Calibri"/>
        </w:rPr>
        <w:t>avivaldybės būsto nuominink</w:t>
      </w:r>
      <w:r>
        <w:rPr>
          <w:rFonts w:eastAsia="Calibri"/>
        </w:rPr>
        <w:t>ui</w:t>
      </w:r>
      <w:r w:rsidR="0005718D" w:rsidRPr="0005718D">
        <w:rPr>
          <w:rFonts w:eastAsia="Calibri"/>
        </w:rPr>
        <w:t xml:space="preserve"> buvo parduot</w:t>
      </w:r>
      <w:r>
        <w:rPr>
          <w:rFonts w:eastAsia="Calibri"/>
        </w:rPr>
        <w:t>as</w:t>
      </w:r>
      <w:r w:rsidR="0005718D" w:rsidRPr="0005718D">
        <w:rPr>
          <w:rFonts w:eastAsia="Calibri"/>
        </w:rPr>
        <w:t xml:space="preserve"> </w:t>
      </w:r>
      <w:r>
        <w:rPr>
          <w:rFonts w:eastAsia="Calibri"/>
        </w:rPr>
        <w:t>b</w:t>
      </w:r>
      <w:r w:rsidR="0005718D" w:rsidRPr="0005718D">
        <w:rPr>
          <w:rFonts w:eastAsia="Calibri"/>
        </w:rPr>
        <w:t>ūsta</w:t>
      </w:r>
      <w:r>
        <w:rPr>
          <w:rFonts w:eastAsia="Calibri"/>
        </w:rPr>
        <w:t>s</w:t>
      </w:r>
      <w:r w:rsidR="0005718D" w:rsidRPr="0005718D">
        <w:rPr>
          <w:rFonts w:eastAsia="Calibri"/>
        </w:rPr>
        <w:t>, kuri</w:t>
      </w:r>
      <w:r>
        <w:rPr>
          <w:rFonts w:eastAsia="Calibri"/>
        </w:rPr>
        <w:t>s</w:t>
      </w:r>
      <w:r w:rsidR="0005718D" w:rsidRPr="0005718D">
        <w:rPr>
          <w:rFonts w:eastAsia="Calibri"/>
        </w:rPr>
        <w:t xml:space="preserve"> nebuvo nuomo</w:t>
      </w:r>
      <w:r>
        <w:rPr>
          <w:rFonts w:eastAsia="Calibri"/>
        </w:rPr>
        <w:t xml:space="preserve">jamas </w:t>
      </w:r>
      <w:r w:rsidR="0005718D" w:rsidRPr="0005718D">
        <w:rPr>
          <w:rFonts w:eastAsia="Calibri"/>
        </w:rPr>
        <w:t xml:space="preserve">socialinio būsto nuomos sąlygomis, gauta </w:t>
      </w:r>
      <w:r>
        <w:rPr>
          <w:rFonts w:eastAsia="Calibri"/>
        </w:rPr>
        <w:t>3 900</w:t>
      </w:r>
      <w:r w:rsidR="0005718D" w:rsidRPr="0005718D">
        <w:rPr>
          <w:rFonts w:eastAsia="Calibri"/>
        </w:rPr>
        <w:t xml:space="preserve"> Eur pajamų. </w:t>
      </w:r>
    </w:p>
    <w:p w14:paraId="1908D7F8" w14:textId="26CB7B74" w:rsidR="00CF1243" w:rsidRDefault="00415491" w:rsidP="00CF1243">
      <w:pPr>
        <w:ind w:firstLine="1296"/>
        <w:jc w:val="both"/>
        <w:rPr>
          <w:rFonts w:eastAsia="Calibri"/>
        </w:rPr>
      </w:pPr>
      <w:r w:rsidRPr="00443D7C">
        <w:rPr>
          <w:rFonts w:eastAsia="Calibri"/>
        </w:rPr>
        <w:t>20</w:t>
      </w:r>
      <w:r>
        <w:rPr>
          <w:rFonts w:eastAsia="Calibri"/>
        </w:rPr>
        <w:t>2</w:t>
      </w:r>
      <w:r w:rsidR="00FC49E1">
        <w:rPr>
          <w:rFonts w:eastAsia="Calibri"/>
        </w:rPr>
        <w:t>2</w:t>
      </w:r>
      <w:r>
        <w:rPr>
          <w:rFonts w:eastAsia="Calibri"/>
        </w:rPr>
        <w:t xml:space="preserve"> metais</w:t>
      </w:r>
      <w:r w:rsidRPr="00443D7C">
        <w:rPr>
          <w:rFonts w:eastAsia="Calibri"/>
        </w:rPr>
        <w:t xml:space="preserve"> Ukmergės rajono savivaldybėj</w:t>
      </w:r>
      <w:r>
        <w:rPr>
          <w:rFonts w:eastAsia="Calibri"/>
        </w:rPr>
        <w:t xml:space="preserve">e gauti ir išnagrinėti </w:t>
      </w:r>
      <w:r w:rsidR="0002170D">
        <w:rPr>
          <w:rFonts w:eastAsia="Calibri"/>
        </w:rPr>
        <w:t>506</w:t>
      </w:r>
      <w:r w:rsidR="00FC73B4">
        <w:rPr>
          <w:rFonts w:eastAsia="Calibri"/>
        </w:rPr>
        <w:t xml:space="preserve"> piliečių prašymai, susiję su socialinio būsto ar savivaldybės būsto nuoma. Per metus </w:t>
      </w:r>
      <w:r w:rsidR="00FC73B4" w:rsidRPr="007F167D">
        <w:rPr>
          <w:rFonts w:eastAsia="Calibri"/>
        </w:rPr>
        <w:t>organizuot</w:t>
      </w:r>
      <w:r w:rsidR="00264DA7">
        <w:rPr>
          <w:rFonts w:eastAsia="Calibri"/>
        </w:rPr>
        <w:t>i</w:t>
      </w:r>
      <w:r w:rsidR="00FC73B4">
        <w:rPr>
          <w:rFonts w:eastAsia="Calibri"/>
        </w:rPr>
        <w:t xml:space="preserve"> 3</w:t>
      </w:r>
      <w:r w:rsidR="00264DA7">
        <w:rPr>
          <w:rFonts w:eastAsia="Calibri"/>
        </w:rPr>
        <w:t>2</w:t>
      </w:r>
      <w:r w:rsidR="00FC73B4">
        <w:rPr>
          <w:rFonts w:eastAsia="Calibri"/>
        </w:rPr>
        <w:t xml:space="preserve"> S</w:t>
      </w:r>
      <w:r w:rsidR="00FC73B4" w:rsidRPr="007F167D">
        <w:rPr>
          <w:rFonts w:eastAsia="Calibri"/>
        </w:rPr>
        <w:t>avivaldybės gyvenamųjų pa</w:t>
      </w:r>
      <w:r w:rsidR="00FC73B4">
        <w:rPr>
          <w:rFonts w:eastAsia="Calibri"/>
        </w:rPr>
        <w:t>talpų nuomos komisijos posėd</w:t>
      </w:r>
      <w:r w:rsidR="00A74EBB">
        <w:rPr>
          <w:rFonts w:eastAsia="Calibri"/>
        </w:rPr>
        <w:t>žiai</w:t>
      </w:r>
      <w:r w:rsidR="00FC73B4">
        <w:rPr>
          <w:rFonts w:eastAsia="Calibri"/>
        </w:rPr>
        <w:t>. A</w:t>
      </w:r>
      <w:r w:rsidR="00FC73B4" w:rsidRPr="007F167D">
        <w:rPr>
          <w:rFonts w:eastAsia="Calibri"/>
        </w:rPr>
        <w:t xml:space="preserve">tsižvelgiant į pateiktas rekomendacijas ir galiojančius teisės aktus parengti </w:t>
      </w:r>
      <w:r w:rsidR="00CF1243" w:rsidRPr="00FC73B4">
        <w:rPr>
          <w:rFonts w:eastAsia="Calibri"/>
        </w:rPr>
        <w:t>3</w:t>
      </w:r>
      <w:r w:rsidR="006E27CC">
        <w:rPr>
          <w:rFonts w:eastAsia="Calibri"/>
        </w:rPr>
        <w:t>3</w:t>
      </w:r>
      <w:r w:rsidR="00CF1243" w:rsidRPr="00FC73B4">
        <w:rPr>
          <w:rFonts w:eastAsia="Calibri"/>
        </w:rPr>
        <w:t>8 teisės aktų projektai</w:t>
      </w:r>
      <w:r w:rsidR="00CF1243">
        <w:rPr>
          <w:rFonts w:eastAsia="Calibri"/>
        </w:rPr>
        <w:t xml:space="preserve">. </w:t>
      </w:r>
    </w:p>
    <w:p w14:paraId="12D5D4B6" w14:textId="043D8EA1" w:rsidR="00415491" w:rsidRDefault="00F352BA" w:rsidP="0005718D">
      <w:pPr>
        <w:ind w:firstLine="1296"/>
        <w:jc w:val="both"/>
        <w:rPr>
          <w:rFonts w:eastAsia="Calibri"/>
        </w:rPr>
      </w:pPr>
      <w:r w:rsidRPr="00445BC0">
        <w:rPr>
          <w:rFonts w:eastAsia="Calibri"/>
        </w:rPr>
        <w:t>Nuo 2015 m. Lietuvos Respublikos valstybės paramos būstui įsigyti ar išsinuomoti įstatymu nustatyta galimybė šeimoms ir asmenims, turin</w:t>
      </w:r>
      <w:r>
        <w:rPr>
          <w:rFonts w:eastAsia="Calibri"/>
        </w:rPr>
        <w:t>tiems</w:t>
      </w:r>
      <w:r w:rsidRPr="00445BC0">
        <w:rPr>
          <w:rFonts w:eastAsia="Calibri"/>
        </w:rPr>
        <w:t xml:space="preserve"> teisę į paramą būstui išsinuomoti, pasinaudoti būsto nuomos ar išperkamosios būsto nuomos mokesčių dalies kompensacija. 2</w:t>
      </w:r>
      <w:r>
        <w:rPr>
          <w:rFonts w:eastAsia="Calibri"/>
        </w:rPr>
        <w:t>02</w:t>
      </w:r>
      <w:r w:rsidR="00690C20">
        <w:rPr>
          <w:rFonts w:eastAsia="Calibri"/>
        </w:rPr>
        <w:t>2</w:t>
      </w:r>
      <w:r w:rsidRPr="00445BC0">
        <w:rPr>
          <w:rFonts w:eastAsia="Calibri"/>
        </w:rPr>
        <w:t xml:space="preserve"> m. šia paramos </w:t>
      </w:r>
      <w:r>
        <w:rPr>
          <w:rFonts w:eastAsia="Calibri"/>
        </w:rPr>
        <w:t xml:space="preserve">forma </w:t>
      </w:r>
      <w:r w:rsidRPr="00445BC0">
        <w:rPr>
          <w:rFonts w:eastAsia="Calibri"/>
        </w:rPr>
        <w:t>pasinaudojo viena</w:t>
      </w:r>
      <w:r>
        <w:rPr>
          <w:rFonts w:eastAsia="Calibri"/>
        </w:rPr>
        <w:t>s</w:t>
      </w:r>
      <w:r w:rsidRPr="00445BC0">
        <w:rPr>
          <w:rFonts w:eastAsia="Calibri"/>
        </w:rPr>
        <w:t xml:space="preserve"> </w:t>
      </w:r>
      <w:r>
        <w:rPr>
          <w:rFonts w:eastAsia="Calibri"/>
        </w:rPr>
        <w:t xml:space="preserve">asmuo. </w:t>
      </w:r>
    </w:p>
    <w:p w14:paraId="6BD09711" w14:textId="77777777" w:rsidR="000D4F7D" w:rsidRDefault="00415491" w:rsidP="00CF1243">
      <w:pPr>
        <w:ind w:firstLine="1276"/>
        <w:jc w:val="both"/>
        <w:rPr>
          <w:rFonts w:eastAsia="Calibri"/>
        </w:rPr>
      </w:pPr>
      <w:r w:rsidRPr="002F140B">
        <w:t>20</w:t>
      </w:r>
      <w:r>
        <w:t>2</w:t>
      </w:r>
      <w:r w:rsidR="0064328A">
        <w:t>2</w:t>
      </w:r>
      <w:r w:rsidRPr="002F140B">
        <w:t xml:space="preserve"> metais </w:t>
      </w:r>
      <w:r w:rsidR="000D0B9E">
        <w:t>7</w:t>
      </w:r>
      <w:r w:rsidRPr="002F140B">
        <w:t xml:space="preserve"> šeim</w:t>
      </w:r>
      <w:r w:rsidR="00D847FC">
        <w:t>oms</w:t>
      </w:r>
      <w:r w:rsidRPr="002F140B">
        <w:t xml:space="preserve"> patvirtinta teisė į paramą būstui įsigyti, suteikiant teisę gauti subsidiją ir išduot</w:t>
      </w:r>
      <w:r w:rsidR="00D847FC">
        <w:t>os</w:t>
      </w:r>
      <w:r w:rsidRPr="002F140B">
        <w:t xml:space="preserve"> pažym</w:t>
      </w:r>
      <w:r w:rsidR="00D847FC">
        <w:t>os.</w:t>
      </w:r>
      <w:r w:rsidRPr="002F140B">
        <w:t xml:space="preserve"> Šia paramos forma </w:t>
      </w:r>
      <w:r w:rsidR="00D847FC">
        <w:t>per paskutiniuosius tris metus</w:t>
      </w:r>
      <w:r w:rsidRPr="002F140B">
        <w:t xml:space="preserve"> naudojosi mažiau šeimų, nes n</w:t>
      </w:r>
      <w:r w:rsidRPr="002F140B">
        <w:rPr>
          <w:rFonts w:eastAsia="Calibri"/>
        </w:rPr>
        <w:t xml:space="preserve">uo 2018 </w:t>
      </w:r>
      <w:r>
        <w:rPr>
          <w:rFonts w:eastAsia="Calibri"/>
        </w:rPr>
        <w:t xml:space="preserve">m. rugsėjo 1 d. jaunos šeimos turi galimybę pasinaudoti finansine paskata įsigyjant pirmąjį būstą Lietuvos Respublikos regionuose. </w:t>
      </w:r>
    </w:p>
    <w:p w14:paraId="324DFB21" w14:textId="77777777" w:rsidR="007A1081" w:rsidRPr="007A1081" w:rsidRDefault="007A1081" w:rsidP="007A1081">
      <w:pPr>
        <w:ind w:firstLine="1276"/>
        <w:jc w:val="both"/>
        <w:rPr>
          <w:rFonts w:eastAsia="Calibri"/>
        </w:rPr>
      </w:pPr>
      <w:r w:rsidRPr="007A1081">
        <w:rPr>
          <w:rFonts w:eastAsia="Calibri"/>
        </w:rPr>
        <w:t xml:space="preserve">Ukmergės rajono savivaldybėje per 2022 m. buvo pateiktas 81 jaunų šeimų prašymas, suteikti finansinę paskatą, pirmajam būstui įsigyti. Visų šių šeimų prašymai buvo išnagrinėti ir 24 šeimoms išduotos pažymos, patvirtinančios teisę į finansinę paskatą pirmajam būstui įsigyti. Bankai patenkino 23 šeimų prašymus  – 18 šeimų naujai įsigijo būstus, o 5 šeimos (anksčiau įsigijusios būstus) gavo papildomą valstybės subsidiją. Panaudojus visas 2022 m. Lietuvos Respublikos valstybės biudžeto asignavimui finansinei paskatai teikti skirtas lėšas, 16 šeimų įrašyta į Asmenų ir šeimų, turinčių teisę į paskatą pirmam būstui įsigyti, sąrašą – šių šeimų prašymai pakartotinai bus nagrinėjami 2023 m. ir, skyrus finansavimą, suformuotos pažymos. </w:t>
      </w:r>
    </w:p>
    <w:p w14:paraId="4792A2BA" w14:textId="640FD2DF" w:rsidR="00415491" w:rsidRDefault="00415491" w:rsidP="00CF1243">
      <w:pPr>
        <w:ind w:firstLine="1276"/>
        <w:jc w:val="both"/>
        <w:rPr>
          <w:rFonts w:eastAsia="Calibri"/>
        </w:rPr>
      </w:pPr>
      <w:r>
        <w:rPr>
          <w:rFonts w:eastAsia="Calibri"/>
        </w:rPr>
        <w:t>Laikotarpiu nuo 2018 m. rugsėjo 1 d. iki 202</w:t>
      </w:r>
      <w:r w:rsidR="001435B1">
        <w:rPr>
          <w:rFonts w:eastAsia="Calibri"/>
        </w:rPr>
        <w:t>3</w:t>
      </w:r>
      <w:r>
        <w:rPr>
          <w:rFonts w:eastAsia="Calibri"/>
        </w:rPr>
        <w:t xml:space="preserve"> m. sausio 1 d. Ukmergės rajono savivaldybėje </w:t>
      </w:r>
      <w:r w:rsidR="00AF3221">
        <w:rPr>
          <w:rFonts w:eastAsia="Calibri"/>
        </w:rPr>
        <w:t>finansine</w:t>
      </w:r>
      <w:r>
        <w:rPr>
          <w:rFonts w:eastAsia="Calibri"/>
        </w:rPr>
        <w:t xml:space="preserve"> paskata pasinaudojo </w:t>
      </w:r>
      <w:r w:rsidR="001435B1">
        <w:rPr>
          <w:rFonts w:eastAsia="Calibri"/>
        </w:rPr>
        <w:t>6</w:t>
      </w:r>
      <w:r w:rsidR="00D85EC5">
        <w:rPr>
          <w:rFonts w:eastAsia="Calibri"/>
        </w:rPr>
        <w:t>5</w:t>
      </w:r>
      <w:r>
        <w:rPr>
          <w:rFonts w:eastAsia="Calibri"/>
        </w:rPr>
        <w:t xml:space="preserve"> jaunos šeimos.</w:t>
      </w:r>
    </w:p>
    <w:p w14:paraId="6B97F4A0" w14:textId="77F97839" w:rsidR="00A16B15" w:rsidRDefault="00BF586C" w:rsidP="00CF1243">
      <w:pPr>
        <w:ind w:firstLine="1276"/>
        <w:jc w:val="both"/>
        <w:rPr>
          <w:rFonts w:eastAsia="Calibri"/>
        </w:rPr>
      </w:pPr>
      <w:r w:rsidRPr="00BF586C">
        <w:rPr>
          <w:rFonts w:eastAsia="Calibri"/>
        </w:rPr>
        <w:t>2022 m. jaunoms šeimoms, gavusioms kreditą ir įsigijusioms būstą Ukmergės rajone pagal Finansinės paskatos pirmąjį būstą įsigyjančioms jaunoms šeimoms įstatymą, pradėta teikti Savivaldybės finansinė parama būsto kredito daliai apmokėti. Savivaldybės finansinės paramos dydis jaunai šeimai – 10 procentų būsto kredito pirmajam būstui įsigyti sumos, bet ne daugiau kaip 5 tūkstančiai eurų. 2022 m. Savivaldybės finansinė parama buvo suteikta 6 šeimoms.</w:t>
      </w:r>
    </w:p>
    <w:p w14:paraId="38862396" w14:textId="77777777" w:rsidR="00D52954" w:rsidRDefault="00D52954" w:rsidP="00CF1243">
      <w:pPr>
        <w:ind w:firstLine="1276"/>
        <w:jc w:val="both"/>
        <w:rPr>
          <w:rFonts w:eastAsia="Calibri"/>
        </w:rPr>
      </w:pPr>
    </w:p>
    <w:p w14:paraId="090575C4" w14:textId="0415C844" w:rsidR="00415491" w:rsidRDefault="00415491" w:rsidP="00D847FC">
      <w:pPr>
        <w:ind w:firstLine="1276"/>
        <w:rPr>
          <w:rFonts w:eastAsia="Calibri"/>
        </w:rPr>
      </w:pPr>
      <w:r>
        <w:rPr>
          <w:rFonts w:eastAsia="Calibri"/>
          <w:noProof/>
          <w:lang w:eastAsia="lt-LT"/>
        </w:rPr>
        <w:drawing>
          <wp:inline distT="0" distB="0" distL="0" distR="0" wp14:anchorId="7482765F" wp14:editId="3D0641FB">
            <wp:extent cx="4095750" cy="24574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14:paraId="0F396595" w14:textId="77777777" w:rsidR="0005718D" w:rsidRDefault="0005718D" w:rsidP="0005718D">
      <w:pPr>
        <w:ind w:firstLine="1276"/>
        <w:jc w:val="both"/>
        <w:rPr>
          <w:rFonts w:eastAsia="Calibri"/>
        </w:rPr>
      </w:pPr>
    </w:p>
    <w:p w14:paraId="02E34ACC" w14:textId="05F47BAE" w:rsidR="0005718D" w:rsidRPr="0005718D" w:rsidRDefault="00022C54" w:rsidP="0005718D">
      <w:pPr>
        <w:ind w:firstLine="1276"/>
        <w:jc w:val="both"/>
        <w:rPr>
          <w:rFonts w:eastAsia="Calibri"/>
        </w:rPr>
      </w:pPr>
      <w:r>
        <w:rPr>
          <w:rFonts w:eastAsia="Calibri"/>
        </w:rPr>
        <w:t xml:space="preserve">Informacija apie paramą būstui įsigyti ir išsinuomoti yra skelbiama Ukmergės rajono savivaldybės tinklalapyje: </w:t>
      </w:r>
      <w:hyperlink r:id="rId10" w:history="1">
        <w:r w:rsidR="009F2BC5" w:rsidRPr="00D470AC">
          <w:rPr>
            <w:rStyle w:val="Hipersaitas"/>
            <w:rFonts w:eastAsia="Calibri"/>
          </w:rPr>
          <w:t>https://www.ukmerge.lt/socialine-parama-socialinis-bustas/</w:t>
        </w:r>
      </w:hyperlink>
    </w:p>
    <w:sectPr w:rsidR="0005718D" w:rsidRPr="0005718D" w:rsidSect="0005718D">
      <w:headerReference w:type="even" r:id="rId11"/>
      <w:pgSz w:w="11906" w:h="16838"/>
      <w:pgMar w:top="993" w:right="567" w:bottom="426"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82E88" w14:textId="77777777" w:rsidR="00027527" w:rsidRDefault="000C5E22">
      <w:r>
        <w:separator/>
      </w:r>
    </w:p>
  </w:endnote>
  <w:endnote w:type="continuationSeparator" w:id="0">
    <w:p w14:paraId="2E737DA8" w14:textId="77777777" w:rsidR="00027527" w:rsidRDefault="000C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5BAD3" w14:textId="77777777" w:rsidR="00027527" w:rsidRDefault="000C5E22">
      <w:r>
        <w:separator/>
      </w:r>
    </w:p>
  </w:footnote>
  <w:footnote w:type="continuationSeparator" w:id="0">
    <w:p w14:paraId="4AC1B3A7" w14:textId="77777777" w:rsidR="00027527" w:rsidRDefault="000C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03BB" w14:textId="77777777" w:rsidR="00A2524C" w:rsidRDefault="00ED6E9B" w:rsidP="002E5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6AE8EA" w14:textId="77777777" w:rsidR="00A2524C" w:rsidRDefault="007A1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A0027"/>
    <w:multiLevelType w:val="hybridMultilevel"/>
    <w:tmpl w:val="31749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167112"/>
    <w:multiLevelType w:val="hybridMultilevel"/>
    <w:tmpl w:val="20D4DC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91"/>
    <w:rsid w:val="0002170D"/>
    <w:rsid w:val="00022C54"/>
    <w:rsid w:val="00027527"/>
    <w:rsid w:val="00035725"/>
    <w:rsid w:val="0004593A"/>
    <w:rsid w:val="0005718D"/>
    <w:rsid w:val="000664A3"/>
    <w:rsid w:val="00070295"/>
    <w:rsid w:val="00084D3B"/>
    <w:rsid w:val="000850D2"/>
    <w:rsid w:val="0008766B"/>
    <w:rsid w:val="000C4E2C"/>
    <w:rsid w:val="000C5E22"/>
    <w:rsid w:val="000D0B9E"/>
    <w:rsid w:val="000D38DD"/>
    <w:rsid w:val="000D4F7D"/>
    <w:rsid w:val="001118BF"/>
    <w:rsid w:val="001435B1"/>
    <w:rsid w:val="00145288"/>
    <w:rsid w:val="00154D6C"/>
    <w:rsid w:val="001A05C8"/>
    <w:rsid w:val="001B7175"/>
    <w:rsid w:val="001C690C"/>
    <w:rsid w:val="001D7B7E"/>
    <w:rsid w:val="001E1E38"/>
    <w:rsid w:val="00201C46"/>
    <w:rsid w:val="002046B2"/>
    <w:rsid w:val="002230F5"/>
    <w:rsid w:val="00235C26"/>
    <w:rsid w:val="002601E0"/>
    <w:rsid w:val="00264DA7"/>
    <w:rsid w:val="00293ED6"/>
    <w:rsid w:val="002C5D19"/>
    <w:rsid w:val="002D49A5"/>
    <w:rsid w:val="002D7F69"/>
    <w:rsid w:val="002E5D39"/>
    <w:rsid w:val="002F00DA"/>
    <w:rsid w:val="002F2DE8"/>
    <w:rsid w:val="00310682"/>
    <w:rsid w:val="00311204"/>
    <w:rsid w:val="0034121C"/>
    <w:rsid w:val="003516F6"/>
    <w:rsid w:val="003B1A6B"/>
    <w:rsid w:val="003B39B2"/>
    <w:rsid w:val="003B62E0"/>
    <w:rsid w:val="003F2B89"/>
    <w:rsid w:val="003F7598"/>
    <w:rsid w:val="00404E75"/>
    <w:rsid w:val="00415491"/>
    <w:rsid w:val="00445BC0"/>
    <w:rsid w:val="0045587F"/>
    <w:rsid w:val="00467D04"/>
    <w:rsid w:val="0047753B"/>
    <w:rsid w:val="00484F08"/>
    <w:rsid w:val="00493ABF"/>
    <w:rsid w:val="004A703C"/>
    <w:rsid w:val="004C605D"/>
    <w:rsid w:val="004D4A69"/>
    <w:rsid w:val="004E0911"/>
    <w:rsid w:val="004E6F2F"/>
    <w:rsid w:val="004E76B7"/>
    <w:rsid w:val="005032BD"/>
    <w:rsid w:val="0051191D"/>
    <w:rsid w:val="005126D3"/>
    <w:rsid w:val="00514B9F"/>
    <w:rsid w:val="005302A0"/>
    <w:rsid w:val="00542A61"/>
    <w:rsid w:val="005453CC"/>
    <w:rsid w:val="005758F7"/>
    <w:rsid w:val="00590414"/>
    <w:rsid w:val="005E4362"/>
    <w:rsid w:val="005E6FFC"/>
    <w:rsid w:val="00602965"/>
    <w:rsid w:val="00603CB7"/>
    <w:rsid w:val="00616F0F"/>
    <w:rsid w:val="0062275D"/>
    <w:rsid w:val="00635EA7"/>
    <w:rsid w:val="0064328A"/>
    <w:rsid w:val="00662F35"/>
    <w:rsid w:val="00690C20"/>
    <w:rsid w:val="0069558F"/>
    <w:rsid w:val="006D08B8"/>
    <w:rsid w:val="006E27CC"/>
    <w:rsid w:val="00710841"/>
    <w:rsid w:val="0071414F"/>
    <w:rsid w:val="00720E7E"/>
    <w:rsid w:val="00727FF2"/>
    <w:rsid w:val="00745492"/>
    <w:rsid w:val="00765A46"/>
    <w:rsid w:val="00766FF4"/>
    <w:rsid w:val="007A1081"/>
    <w:rsid w:val="007B2DDD"/>
    <w:rsid w:val="007B5229"/>
    <w:rsid w:val="007C4608"/>
    <w:rsid w:val="00816185"/>
    <w:rsid w:val="0086522E"/>
    <w:rsid w:val="00866B0F"/>
    <w:rsid w:val="00872F3C"/>
    <w:rsid w:val="008811A2"/>
    <w:rsid w:val="008C18B1"/>
    <w:rsid w:val="008D52F1"/>
    <w:rsid w:val="008E27AF"/>
    <w:rsid w:val="008F14F7"/>
    <w:rsid w:val="009440DA"/>
    <w:rsid w:val="00944DD9"/>
    <w:rsid w:val="00957954"/>
    <w:rsid w:val="009D6877"/>
    <w:rsid w:val="009E238C"/>
    <w:rsid w:val="009E3ED4"/>
    <w:rsid w:val="009F2BC5"/>
    <w:rsid w:val="009F6483"/>
    <w:rsid w:val="009F75F2"/>
    <w:rsid w:val="00A06485"/>
    <w:rsid w:val="00A07395"/>
    <w:rsid w:val="00A151F0"/>
    <w:rsid w:val="00A16B15"/>
    <w:rsid w:val="00A21D3B"/>
    <w:rsid w:val="00A567A2"/>
    <w:rsid w:val="00A644C7"/>
    <w:rsid w:val="00A74EBB"/>
    <w:rsid w:val="00AA1BA9"/>
    <w:rsid w:val="00AA6259"/>
    <w:rsid w:val="00AC7430"/>
    <w:rsid w:val="00AD1461"/>
    <w:rsid w:val="00AF3221"/>
    <w:rsid w:val="00AF359E"/>
    <w:rsid w:val="00B212EA"/>
    <w:rsid w:val="00B525BA"/>
    <w:rsid w:val="00B55A0A"/>
    <w:rsid w:val="00BF2751"/>
    <w:rsid w:val="00BF586C"/>
    <w:rsid w:val="00C13ECF"/>
    <w:rsid w:val="00C31D12"/>
    <w:rsid w:val="00C570F2"/>
    <w:rsid w:val="00CA32BE"/>
    <w:rsid w:val="00CB2329"/>
    <w:rsid w:val="00CB7384"/>
    <w:rsid w:val="00CD2EE7"/>
    <w:rsid w:val="00CE3FBF"/>
    <w:rsid w:val="00CF1243"/>
    <w:rsid w:val="00D16F7B"/>
    <w:rsid w:val="00D22DB5"/>
    <w:rsid w:val="00D52954"/>
    <w:rsid w:val="00D5313C"/>
    <w:rsid w:val="00D53AB2"/>
    <w:rsid w:val="00D73610"/>
    <w:rsid w:val="00D81E6A"/>
    <w:rsid w:val="00D847FC"/>
    <w:rsid w:val="00D85EC5"/>
    <w:rsid w:val="00DA5FC9"/>
    <w:rsid w:val="00DB6285"/>
    <w:rsid w:val="00DC47BF"/>
    <w:rsid w:val="00DE0C41"/>
    <w:rsid w:val="00DE2886"/>
    <w:rsid w:val="00DF2A73"/>
    <w:rsid w:val="00E07386"/>
    <w:rsid w:val="00E4716C"/>
    <w:rsid w:val="00E61395"/>
    <w:rsid w:val="00E7735E"/>
    <w:rsid w:val="00ED12EA"/>
    <w:rsid w:val="00ED6E9B"/>
    <w:rsid w:val="00EE714E"/>
    <w:rsid w:val="00F352BA"/>
    <w:rsid w:val="00F805FD"/>
    <w:rsid w:val="00F83AAF"/>
    <w:rsid w:val="00F9742A"/>
    <w:rsid w:val="00FB18CB"/>
    <w:rsid w:val="00FC44E4"/>
    <w:rsid w:val="00FC49E1"/>
    <w:rsid w:val="00FC73B4"/>
    <w:rsid w:val="00FD2FCE"/>
    <w:rsid w:val="00FE3353"/>
    <w:rsid w:val="00FF5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375B"/>
  <w15:docId w15:val="{BFC1A538-2067-45BF-9AF2-8A4618A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1549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15491"/>
    <w:pPr>
      <w:tabs>
        <w:tab w:val="center" w:pos="4153"/>
        <w:tab w:val="right" w:pos="8306"/>
      </w:tabs>
    </w:pPr>
  </w:style>
  <w:style w:type="character" w:customStyle="1" w:styleId="AntratsDiagrama">
    <w:name w:val="Antraštės Diagrama"/>
    <w:basedOn w:val="Numatytasispastraiposriftas"/>
    <w:link w:val="Antrats"/>
    <w:rsid w:val="00415491"/>
    <w:rPr>
      <w:rFonts w:ascii="Times New Roman" w:eastAsia="Times New Roman" w:hAnsi="Times New Roman" w:cs="Times New Roman"/>
      <w:sz w:val="24"/>
      <w:szCs w:val="24"/>
    </w:rPr>
  </w:style>
  <w:style w:type="character" w:styleId="Puslapionumeris">
    <w:name w:val="page number"/>
    <w:basedOn w:val="Numatytasispastraiposriftas"/>
    <w:rsid w:val="00415491"/>
  </w:style>
  <w:style w:type="paragraph" w:styleId="Sraopastraipa">
    <w:name w:val="List Paragraph"/>
    <w:basedOn w:val="prastasis"/>
    <w:uiPriority w:val="34"/>
    <w:qFormat/>
    <w:rsid w:val="00415491"/>
    <w:pPr>
      <w:spacing w:after="160" w:line="256" w:lineRule="auto"/>
      <w:ind w:left="720"/>
      <w:contextualSpacing/>
    </w:pPr>
    <w:rPr>
      <w:rFonts w:asciiTheme="minorHAnsi" w:eastAsiaTheme="minorEastAsia" w:hAnsiTheme="minorHAnsi" w:cstheme="minorBidi"/>
      <w:sz w:val="22"/>
      <w:szCs w:val="22"/>
      <w:lang w:eastAsia="zh-TW"/>
    </w:rPr>
  </w:style>
  <w:style w:type="character" w:styleId="Hipersaitas">
    <w:name w:val="Hyperlink"/>
    <w:basedOn w:val="Numatytasispastraiposriftas"/>
    <w:uiPriority w:val="99"/>
    <w:unhideWhenUsed/>
    <w:rsid w:val="00145288"/>
    <w:rPr>
      <w:color w:val="0563C1" w:themeColor="hyperlink"/>
      <w:u w:val="single"/>
    </w:rPr>
  </w:style>
  <w:style w:type="paragraph" w:styleId="Porat">
    <w:name w:val="footer"/>
    <w:basedOn w:val="prastasis"/>
    <w:link w:val="PoratDiagrama"/>
    <w:uiPriority w:val="99"/>
    <w:unhideWhenUsed/>
    <w:rsid w:val="004A703C"/>
    <w:pPr>
      <w:tabs>
        <w:tab w:val="center" w:pos="4819"/>
        <w:tab w:val="right" w:pos="9638"/>
      </w:tabs>
    </w:pPr>
  </w:style>
  <w:style w:type="character" w:customStyle="1" w:styleId="PoratDiagrama">
    <w:name w:val="Poraštė Diagrama"/>
    <w:basedOn w:val="Numatytasispastraiposriftas"/>
    <w:link w:val="Porat"/>
    <w:uiPriority w:val="99"/>
    <w:rsid w:val="004A703C"/>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A703C"/>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4A703C"/>
    <w:rPr>
      <w:color w:val="605E5C"/>
      <w:shd w:val="clear" w:color="auto" w:fill="E1DFDD"/>
    </w:rPr>
  </w:style>
  <w:style w:type="paragraph" w:styleId="Debesliotekstas">
    <w:name w:val="Balloon Text"/>
    <w:basedOn w:val="prastasis"/>
    <w:link w:val="DebesliotekstasDiagrama"/>
    <w:uiPriority w:val="99"/>
    <w:semiHidden/>
    <w:unhideWhenUsed/>
    <w:rsid w:val="006955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558F"/>
    <w:rPr>
      <w:rFonts w:ascii="Tahoma" w:eastAsia="Times New Roman" w:hAnsi="Tahoma" w:cs="Tahoma"/>
      <w:sz w:val="16"/>
      <w:szCs w:val="16"/>
    </w:rPr>
  </w:style>
  <w:style w:type="paragraph" w:styleId="Antrat">
    <w:name w:val="caption"/>
    <w:basedOn w:val="prastasis"/>
    <w:next w:val="prastasis"/>
    <w:uiPriority w:val="35"/>
    <w:unhideWhenUsed/>
    <w:qFormat/>
    <w:rsid w:val="00A0739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5311">
      <w:bodyDiv w:val="1"/>
      <w:marLeft w:val="0"/>
      <w:marRight w:val="0"/>
      <w:marTop w:val="0"/>
      <w:marBottom w:val="0"/>
      <w:divBdr>
        <w:top w:val="none" w:sz="0" w:space="0" w:color="auto"/>
        <w:left w:val="none" w:sz="0" w:space="0" w:color="auto"/>
        <w:bottom w:val="none" w:sz="0" w:space="0" w:color="auto"/>
        <w:right w:val="none" w:sz="0" w:space="0" w:color="auto"/>
      </w:divBdr>
    </w:div>
    <w:div w:id="426657659">
      <w:bodyDiv w:val="1"/>
      <w:marLeft w:val="0"/>
      <w:marRight w:val="0"/>
      <w:marTop w:val="0"/>
      <w:marBottom w:val="0"/>
      <w:divBdr>
        <w:top w:val="none" w:sz="0" w:space="0" w:color="auto"/>
        <w:left w:val="none" w:sz="0" w:space="0" w:color="auto"/>
        <w:bottom w:val="none" w:sz="0" w:space="0" w:color="auto"/>
        <w:right w:val="none" w:sz="0" w:space="0" w:color="auto"/>
      </w:divBdr>
    </w:div>
    <w:div w:id="854616929">
      <w:bodyDiv w:val="1"/>
      <w:marLeft w:val="0"/>
      <w:marRight w:val="0"/>
      <w:marTop w:val="0"/>
      <w:marBottom w:val="0"/>
      <w:divBdr>
        <w:top w:val="none" w:sz="0" w:space="0" w:color="auto"/>
        <w:left w:val="none" w:sz="0" w:space="0" w:color="auto"/>
        <w:bottom w:val="none" w:sz="0" w:space="0" w:color="auto"/>
        <w:right w:val="none" w:sz="0" w:space="0" w:color="auto"/>
      </w:divBdr>
    </w:div>
    <w:div w:id="878399831">
      <w:bodyDiv w:val="1"/>
      <w:marLeft w:val="0"/>
      <w:marRight w:val="0"/>
      <w:marTop w:val="0"/>
      <w:marBottom w:val="0"/>
      <w:divBdr>
        <w:top w:val="none" w:sz="0" w:space="0" w:color="auto"/>
        <w:left w:val="none" w:sz="0" w:space="0" w:color="auto"/>
        <w:bottom w:val="none" w:sz="0" w:space="0" w:color="auto"/>
        <w:right w:val="none" w:sz="0" w:space="0" w:color="auto"/>
      </w:divBdr>
    </w:div>
    <w:div w:id="923302565">
      <w:bodyDiv w:val="1"/>
      <w:marLeft w:val="0"/>
      <w:marRight w:val="0"/>
      <w:marTop w:val="0"/>
      <w:marBottom w:val="0"/>
      <w:divBdr>
        <w:top w:val="none" w:sz="0" w:space="0" w:color="auto"/>
        <w:left w:val="none" w:sz="0" w:space="0" w:color="auto"/>
        <w:bottom w:val="none" w:sz="0" w:space="0" w:color="auto"/>
        <w:right w:val="none" w:sz="0" w:space="0" w:color="auto"/>
      </w:divBdr>
    </w:div>
    <w:div w:id="1257907763">
      <w:bodyDiv w:val="1"/>
      <w:marLeft w:val="0"/>
      <w:marRight w:val="0"/>
      <w:marTop w:val="0"/>
      <w:marBottom w:val="0"/>
      <w:divBdr>
        <w:top w:val="none" w:sz="0" w:space="0" w:color="auto"/>
        <w:left w:val="none" w:sz="0" w:space="0" w:color="auto"/>
        <w:bottom w:val="none" w:sz="0" w:space="0" w:color="auto"/>
        <w:right w:val="none" w:sz="0" w:space="0" w:color="auto"/>
      </w:divBdr>
    </w:div>
    <w:div w:id="1297181355">
      <w:bodyDiv w:val="1"/>
      <w:marLeft w:val="0"/>
      <w:marRight w:val="0"/>
      <w:marTop w:val="0"/>
      <w:marBottom w:val="0"/>
      <w:divBdr>
        <w:top w:val="none" w:sz="0" w:space="0" w:color="auto"/>
        <w:left w:val="none" w:sz="0" w:space="0" w:color="auto"/>
        <w:bottom w:val="none" w:sz="0" w:space="0" w:color="auto"/>
        <w:right w:val="none" w:sz="0" w:space="0" w:color="auto"/>
      </w:divBdr>
    </w:div>
    <w:div w:id="1621260623">
      <w:bodyDiv w:val="1"/>
      <w:marLeft w:val="0"/>
      <w:marRight w:val="0"/>
      <w:marTop w:val="0"/>
      <w:marBottom w:val="0"/>
      <w:divBdr>
        <w:top w:val="none" w:sz="0" w:space="0" w:color="auto"/>
        <w:left w:val="none" w:sz="0" w:space="0" w:color="auto"/>
        <w:bottom w:val="none" w:sz="0" w:space="0" w:color="auto"/>
        <w:right w:val="none" w:sz="0" w:space="0" w:color="auto"/>
      </w:divBdr>
    </w:div>
    <w:div w:id="1823690859">
      <w:bodyDiv w:val="1"/>
      <w:marLeft w:val="0"/>
      <w:marRight w:val="0"/>
      <w:marTop w:val="0"/>
      <w:marBottom w:val="0"/>
      <w:divBdr>
        <w:top w:val="none" w:sz="0" w:space="0" w:color="auto"/>
        <w:left w:val="none" w:sz="0" w:space="0" w:color="auto"/>
        <w:bottom w:val="none" w:sz="0" w:space="0" w:color="auto"/>
        <w:right w:val="none" w:sz="0" w:space="0" w:color="auto"/>
      </w:divBdr>
    </w:div>
    <w:div w:id="19839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kmerge.lt/socialine-parama-socialinis-bustas/" TargetMode="Externa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a:ea typeface="Arial"/>
                <a:cs typeface="Arial"/>
              </a:defRPr>
            </a:pPr>
            <a:r>
              <a:rPr lang="lt-LT" sz="1100"/>
              <a:t>Šeimų, 2023 sausio 1 d. laukiančiųjų socialinio būsto nuomos, skaičius, vnt.</a:t>
            </a:r>
          </a:p>
        </c:rich>
      </c:tx>
      <c:layout>
        <c:manualLayout>
          <c:xMode val="edge"/>
          <c:yMode val="edge"/>
          <c:x val="0.19050568678915145"/>
          <c:y val="4.3886706228527368E-2"/>
        </c:manualLayout>
      </c:layout>
      <c:overlay val="0"/>
      <c:spPr>
        <a:noFill/>
        <a:ln w="25331">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3280657342158667"/>
          <c:y val="0.20590263016873567"/>
          <c:w val="0.72403787455113799"/>
          <c:h val="0.72914391657222921"/>
        </c:manualLayout>
      </c:layout>
      <c:pie3DChart>
        <c:varyColors val="1"/>
        <c:ser>
          <c:idx val="0"/>
          <c:order val="0"/>
          <c:tx>
            <c:strRef>
              <c:f>Sheet1!$A$2</c:f>
              <c:strCache>
                <c:ptCount val="1"/>
                <c:pt idx="0">
                  <c:v>East</c:v>
                </c:pt>
              </c:strCache>
            </c:strRef>
          </c:tx>
          <c:spPr>
            <a:ln w="12666">
              <a:solidFill>
                <a:srgbClr val="000000"/>
              </a:solidFill>
              <a:prstDash val="solid"/>
            </a:ln>
          </c:spPr>
          <c:explosion val="25"/>
          <c:dPt>
            <c:idx val="0"/>
            <c:bubble3D val="0"/>
            <c:spPr>
              <a:solidFill>
                <a:srgbClr val="00FF00"/>
              </a:solidFill>
              <a:ln w="12666">
                <a:solidFill>
                  <a:srgbClr val="000000"/>
                </a:solidFill>
                <a:prstDash val="solid"/>
              </a:ln>
            </c:spPr>
            <c:extLst>
              <c:ext xmlns:c16="http://schemas.microsoft.com/office/drawing/2014/chart" uri="{C3380CC4-5D6E-409C-BE32-E72D297353CC}">
                <c16:uniqueId val="{00000001-D0BC-405F-A0A7-0BA5B0FE14B8}"/>
              </c:ext>
            </c:extLst>
          </c:dPt>
          <c:dPt>
            <c:idx val="1"/>
            <c:bubble3D val="0"/>
            <c:spPr>
              <a:solidFill>
                <a:srgbClr val="FF8080"/>
              </a:solidFill>
              <a:ln w="12666">
                <a:solidFill>
                  <a:srgbClr val="000000"/>
                </a:solidFill>
                <a:prstDash val="solid"/>
              </a:ln>
            </c:spPr>
            <c:extLst>
              <c:ext xmlns:c16="http://schemas.microsoft.com/office/drawing/2014/chart" uri="{C3380CC4-5D6E-409C-BE32-E72D297353CC}">
                <c16:uniqueId val="{00000003-D0BC-405F-A0A7-0BA5B0FE14B8}"/>
              </c:ext>
            </c:extLst>
          </c:dPt>
          <c:dPt>
            <c:idx val="2"/>
            <c:bubble3D val="0"/>
            <c:spPr>
              <a:solidFill>
                <a:srgbClr val="FFFF00"/>
              </a:solidFill>
              <a:ln w="12666">
                <a:solidFill>
                  <a:srgbClr val="000000"/>
                </a:solidFill>
                <a:prstDash val="solid"/>
              </a:ln>
            </c:spPr>
            <c:extLst>
              <c:ext xmlns:c16="http://schemas.microsoft.com/office/drawing/2014/chart" uri="{C3380CC4-5D6E-409C-BE32-E72D297353CC}">
                <c16:uniqueId val="{00000005-D0BC-405F-A0A7-0BA5B0FE14B8}"/>
              </c:ext>
            </c:extLst>
          </c:dPt>
          <c:dPt>
            <c:idx val="3"/>
            <c:bubble3D val="0"/>
            <c:spPr>
              <a:solidFill>
                <a:srgbClr val="00FFFF"/>
              </a:solidFill>
              <a:ln w="12666">
                <a:solidFill>
                  <a:srgbClr val="000000"/>
                </a:solidFill>
                <a:prstDash val="solid"/>
              </a:ln>
            </c:spPr>
            <c:extLst>
              <c:ext xmlns:c16="http://schemas.microsoft.com/office/drawing/2014/chart" uri="{C3380CC4-5D6E-409C-BE32-E72D297353CC}">
                <c16:uniqueId val="{00000007-D0BC-405F-A0A7-0BA5B0FE14B8}"/>
              </c:ext>
            </c:extLst>
          </c:dPt>
          <c:dPt>
            <c:idx val="4"/>
            <c:bubble3D val="0"/>
            <c:spPr>
              <a:solidFill>
                <a:srgbClr val="FF0000"/>
              </a:solidFill>
              <a:ln w="12666">
                <a:solidFill>
                  <a:srgbClr val="000000"/>
                </a:solidFill>
                <a:prstDash val="solid"/>
              </a:ln>
            </c:spPr>
            <c:extLst>
              <c:ext xmlns:c16="http://schemas.microsoft.com/office/drawing/2014/chart" uri="{C3380CC4-5D6E-409C-BE32-E72D297353CC}">
                <c16:uniqueId val="{00000009-D0BC-405F-A0A7-0BA5B0FE14B8}"/>
              </c:ext>
            </c:extLst>
          </c:dPt>
          <c:dPt>
            <c:idx val="5"/>
            <c:bubble3D val="0"/>
            <c:spPr>
              <a:solidFill>
                <a:srgbClr val="FFCC99"/>
              </a:solidFill>
              <a:ln w="12666">
                <a:solidFill>
                  <a:srgbClr val="000000"/>
                </a:solidFill>
                <a:prstDash val="solid"/>
              </a:ln>
            </c:spPr>
            <c:extLst>
              <c:ext xmlns:c16="http://schemas.microsoft.com/office/drawing/2014/chart" uri="{C3380CC4-5D6E-409C-BE32-E72D297353CC}">
                <c16:uniqueId val="{0000000B-D0BC-405F-A0A7-0BA5B0FE14B8}"/>
              </c:ext>
            </c:extLst>
          </c:dPt>
          <c:dLbls>
            <c:dLbl>
              <c:idx val="2"/>
              <c:layout>
                <c:manualLayout>
                  <c:x val="-4.2751322751322816E-3"/>
                  <c:y val="-3.7217299820821011E-2"/>
                </c:manualLayout>
              </c:layout>
              <c:tx>
                <c:rich>
                  <a:bodyPr/>
                  <a:lstStyle/>
                  <a:p>
                    <a:pPr>
                      <a:defRPr sz="798" b="1" i="0" u="none" strike="noStrike" baseline="0">
                        <a:solidFill>
                          <a:srgbClr val="000000"/>
                        </a:solidFill>
                        <a:latin typeface="Arial"/>
                        <a:ea typeface="Arial"/>
                        <a:cs typeface="Arial"/>
                      </a:defRPr>
                    </a:pPr>
                    <a:r>
                      <a:rPr lang="lt-LT"/>
                      <a:t>Likusių be tėvų globos asmenų ir jų šeimų; 15</a:t>
                    </a:r>
                  </a:p>
                </c:rich>
              </c:tx>
              <c:spPr>
                <a:noFill/>
                <a:ln w="25331">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BC-405F-A0A7-0BA5B0FE14B8}"/>
                </c:ext>
              </c:extLst>
            </c:dLbl>
            <c:dLbl>
              <c:idx val="3"/>
              <c:tx>
                <c:rich>
                  <a:bodyPr/>
                  <a:lstStyle/>
                  <a:p>
                    <a:fld id="{F6CB49EF-10A5-46F0-ADCA-3662698019E8}" type="CATEGORYNAME">
                      <a:rPr lang="lt-LT"/>
                      <a:pPr/>
                      <a:t>[KATEGORIJOS PAVADINIMAS]</a:t>
                    </a:fld>
                    <a:r>
                      <a:rPr lang="lt-LT" baseline="0"/>
                      <a:t>; 9</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0BC-405F-A0A7-0BA5B0FE14B8}"/>
                </c:ext>
              </c:extLst>
            </c:dLbl>
            <c:dLbl>
              <c:idx val="5"/>
              <c:layout>
                <c:manualLayout>
                  <c:x val="-5.1973836603757845E-2"/>
                  <c:y val="7.835845675866719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BC-405F-A0A7-0BA5B0FE14B8}"/>
                </c:ext>
              </c:extLst>
            </c:dLbl>
            <c:spPr>
              <a:noFill/>
              <a:ln w="25331">
                <a:noFill/>
              </a:ln>
            </c:spPr>
            <c:txPr>
              <a:bodyPr/>
              <a:lstStyle/>
              <a:p>
                <a:pPr>
                  <a:defRPr sz="800" b="1" i="0" u="none" strike="noStrike" baseline="0">
                    <a:solidFill>
                      <a:srgbClr val="000000"/>
                    </a:solidFill>
                    <a:latin typeface="Arial"/>
                    <a:ea typeface="Arial"/>
                    <a:cs typeface="Arial"/>
                  </a:defRPr>
                </a:pPr>
                <a:endParaRPr lang="lt-LT"/>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Sheet1!$B$1:$G$1</c:f>
              <c:strCache>
                <c:ptCount val="6"/>
                <c:pt idx="0">
                  <c:v>Jaunų šeimų</c:v>
                </c:pt>
                <c:pt idx="1">
                  <c:v>Šeimų, auginančių tris ar daugiau vaikų</c:v>
                </c:pt>
                <c:pt idx="2">
                  <c:v>Buvusių naškaičių ar be tėvų globos likusių asmenų</c:v>
                </c:pt>
                <c:pt idx="3">
                  <c:v>Neįgalių asmenų</c:v>
                </c:pt>
                <c:pt idx="4">
                  <c:v>Bendras sąrašas</c:v>
                </c:pt>
                <c:pt idx="5">
                  <c:v>Turinčių teisę į pagerinimą</c:v>
                </c:pt>
              </c:strCache>
            </c:strRef>
          </c:cat>
          <c:val>
            <c:numRef>
              <c:f>Sheet1!$B$2:$G$2</c:f>
              <c:numCache>
                <c:formatCode>General</c:formatCode>
                <c:ptCount val="6"/>
                <c:pt idx="0">
                  <c:v>12</c:v>
                </c:pt>
                <c:pt idx="1">
                  <c:v>5</c:v>
                </c:pt>
                <c:pt idx="2">
                  <c:v>15</c:v>
                </c:pt>
                <c:pt idx="3">
                  <c:v>10</c:v>
                </c:pt>
                <c:pt idx="4">
                  <c:v>55</c:v>
                </c:pt>
                <c:pt idx="5">
                  <c:v>2</c:v>
                </c:pt>
              </c:numCache>
            </c:numRef>
          </c:val>
          <c:extLst>
            <c:ext xmlns:c16="http://schemas.microsoft.com/office/drawing/2014/chart" uri="{C3380CC4-5D6E-409C-BE32-E72D297353CC}">
              <c16:uniqueId val="{0000000C-D0BC-405F-A0A7-0BA5B0FE14B8}"/>
            </c:ext>
          </c:extLst>
        </c:ser>
        <c:dLbls>
          <c:showLegendKey val="0"/>
          <c:showVal val="0"/>
          <c:showCatName val="0"/>
          <c:showSerName val="0"/>
          <c:showPercent val="0"/>
          <c:showBubbleSize val="0"/>
          <c:showLeaderLines val="1"/>
        </c:dLbls>
      </c:pie3DChart>
      <c:spPr>
        <a:solidFill>
          <a:srgbClr val="FFFFCC"/>
        </a:solidFill>
        <a:ln w="25331">
          <a:noFill/>
        </a:ln>
      </c:spPr>
    </c:plotArea>
    <c:plotVisOnly val="1"/>
    <c:dispBlanksAs val="zero"/>
    <c:showDLblsOverMax val="0"/>
  </c:chart>
  <c:spPr>
    <a:gradFill rotWithShape="0">
      <a:gsLst>
        <a:gs pos="0">
          <a:srgbClr val="FFFFCC"/>
        </a:gs>
        <a:gs pos="100000">
          <a:srgbClr val="FFFFFD">
            <a:gamma/>
            <a:tint val="82353"/>
            <a:invGamma/>
          </a:srgbClr>
        </a:gs>
      </a:gsLst>
      <a:lin ang="5400000" scaled="1"/>
    </a:gradFill>
    <a:ln>
      <a:noFill/>
    </a:ln>
  </c:spPr>
  <c:txPr>
    <a:bodyPr/>
    <a:lstStyle/>
    <a:p>
      <a:pPr>
        <a:defRPr sz="1025" b="1" i="0" u="none" strike="noStrike" baseline="0">
          <a:solidFill>
            <a:srgbClr val="000000"/>
          </a:solidFill>
          <a:latin typeface="Arial"/>
          <a:ea typeface="Arial"/>
          <a:cs typeface="Arial"/>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400"/>
              <a:t>Jaunų šeimų, pasinaudojusių finansine paskata, skaičius 2018-2022 m. </a:t>
            </a:r>
          </a:p>
        </c:rich>
      </c:tx>
      <c:overlay val="0"/>
    </c:title>
    <c:autoTitleDeleted val="0"/>
    <c:plotArea>
      <c:layout>
        <c:manualLayout>
          <c:layoutTarget val="inner"/>
          <c:xMode val="edge"/>
          <c:yMode val="edge"/>
          <c:x val="7.6111091840392192E-2"/>
          <c:y val="0.35224206129163427"/>
          <c:w val="0.85262756252384753"/>
          <c:h val="0.530144541791431"/>
        </c:manualLayout>
      </c:layout>
      <c:barChart>
        <c:barDir val="col"/>
        <c:grouping val="clustered"/>
        <c:varyColors val="0"/>
        <c:ser>
          <c:idx val="0"/>
          <c:order val="0"/>
          <c:tx>
            <c:strRef>
              <c:f>Sheet1!$B$1</c:f>
              <c:strCache>
                <c:ptCount val="1"/>
                <c:pt idx="0">
                  <c:v>Series 1</c:v>
                </c:pt>
              </c:strCache>
            </c:strRef>
          </c:tx>
          <c:spPr>
            <a:solidFill>
              <a:srgbClr val="002060"/>
            </a:solidFill>
          </c:spPr>
          <c:invertIfNegative val="0"/>
          <c:dPt>
            <c:idx val="0"/>
            <c:invertIfNegative val="0"/>
            <c:bubble3D val="0"/>
            <c:spPr>
              <a:solidFill>
                <a:schemeClr val="tx2">
                  <a:lumMod val="60000"/>
                  <a:lumOff val="40000"/>
                </a:schemeClr>
              </a:solidFill>
            </c:spPr>
            <c:extLst>
              <c:ext xmlns:c16="http://schemas.microsoft.com/office/drawing/2014/chart" uri="{C3380CC4-5D6E-409C-BE32-E72D297353CC}">
                <c16:uniqueId val="{00000001-41E6-4514-8E22-84665E3C590F}"/>
              </c:ext>
            </c:extLst>
          </c:dPt>
          <c:dPt>
            <c:idx val="1"/>
            <c:invertIfNegative val="0"/>
            <c:bubble3D val="0"/>
            <c:spPr>
              <a:solidFill>
                <a:schemeClr val="accent2">
                  <a:lumMod val="75000"/>
                </a:schemeClr>
              </a:solidFill>
            </c:spPr>
            <c:extLst>
              <c:ext xmlns:c16="http://schemas.microsoft.com/office/drawing/2014/chart" uri="{C3380CC4-5D6E-409C-BE32-E72D297353CC}">
                <c16:uniqueId val="{00000003-41E6-4514-8E22-84665E3C590F}"/>
              </c:ext>
            </c:extLst>
          </c:dPt>
          <c:dLbls>
            <c:dLbl>
              <c:idx val="1"/>
              <c:layout>
                <c:manualLayout>
                  <c:x val="5.8737151248164461E-3"/>
                  <c:y val="1.4084507042253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E6-4514-8E22-84665E3C590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1</c:v>
                </c:pt>
                <c:pt idx="1">
                  <c:v>17</c:v>
                </c:pt>
                <c:pt idx="2">
                  <c:v>17</c:v>
                </c:pt>
                <c:pt idx="3">
                  <c:v>12</c:v>
                </c:pt>
                <c:pt idx="4">
                  <c:v>18</c:v>
                </c:pt>
              </c:numCache>
            </c:numRef>
          </c:val>
          <c:extLst>
            <c:ext xmlns:c16="http://schemas.microsoft.com/office/drawing/2014/chart" uri="{C3380CC4-5D6E-409C-BE32-E72D297353CC}">
              <c16:uniqueId val="{00000004-41E6-4514-8E22-84665E3C590F}"/>
            </c:ext>
          </c:extLst>
        </c:ser>
        <c:dLbls>
          <c:showLegendKey val="0"/>
          <c:showVal val="0"/>
          <c:showCatName val="0"/>
          <c:showSerName val="0"/>
          <c:showPercent val="0"/>
          <c:showBubbleSize val="0"/>
        </c:dLbls>
        <c:gapWidth val="150"/>
        <c:axId val="74908416"/>
        <c:axId val="74909952"/>
      </c:barChart>
      <c:catAx>
        <c:axId val="74908416"/>
        <c:scaling>
          <c:orientation val="minMax"/>
        </c:scaling>
        <c:delete val="0"/>
        <c:axPos val="b"/>
        <c:numFmt formatCode="General" sourceLinked="1"/>
        <c:majorTickMark val="out"/>
        <c:minorTickMark val="none"/>
        <c:tickLblPos val="nextTo"/>
        <c:crossAx val="74909952"/>
        <c:crosses val="autoZero"/>
        <c:auto val="1"/>
        <c:lblAlgn val="ctr"/>
        <c:lblOffset val="100"/>
        <c:noMultiLvlLbl val="0"/>
      </c:catAx>
      <c:valAx>
        <c:axId val="74909952"/>
        <c:scaling>
          <c:orientation val="minMax"/>
        </c:scaling>
        <c:delete val="0"/>
        <c:axPos val="l"/>
        <c:majorGridlines/>
        <c:numFmt formatCode="General" sourceLinked="1"/>
        <c:majorTickMark val="out"/>
        <c:minorTickMark val="none"/>
        <c:tickLblPos val="nextTo"/>
        <c:crossAx val="74908416"/>
        <c:crosses val="autoZero"/>
        <c:crossBetween val="between"/>
      </c:valAx>
      <c:spPr>
        <a:solidFill>
          <a:srgbClr val="92D050"/>
        </a:solidFill>
      </c:spPr>
    </c:plotArea>
    <c:plotVisOnly val="1"/>
    <c:dispBlanksAs val="gap"/>
    <c:showDLblsOverMax val="0"/>
  </c:chart>
  <c:spPr>
    <a:pattFill prst="pct50">
      <a:fgClr>
        <a:srgbClr val="99CC00"/>
      </a:fgClr>
      <a:bgClr>
        <a:schemeClr val="bg1"/>
      </a:bgClr>
    </a:pattFill>
  </c:sp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326</TotalTime>
  <Pages>2</Pages>
  <Words>2847</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Labanauskas</dc:creator>
  <cp:keywords/>
  <dc:description/>
  <cp:lastModifiedBy>Jūratė Kaselienė</cp:lastModifiedBy>
  <cp:revision>42</cp:revision>
  <dcterms:created xsi:type="dcterms:W3CDTF">2022-12-29T12:11:00Z</dcterms:created>
  <dcterms:modified xsi:type="dcterms:W3CDTF">2023-01-02T14:24:00Z</dcterms:modified>
</cp:coreProperties>
</file>