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D6AD" w14:textId="3CAEF0D7" w:rsidR="00694944" w:rsidRPr="00C5156F" w:rsidRDefault="00694944" w:rsidP="00694944">
      <w:pPr>
        <w:jc w:val="center"/>
        <w:outlineLvl w:val="0"/>
        <w:rPr>
          <w:b/>
          <w:bCs/>
        </w:rPr>
      </w:pPr>
      <w:r w:rsidRPr="00C5156F">
        <w:rPr>
          <w:b/>
          <w:bCs/>
        </w:rPr>
        <w:t xml:space="preserve">PATEIKTŲ </w:t>
      </w:r>
      <w:r w:rsidR="00593FD3">
        <w:rPr>
          <w:b/>
          <w:bCs/>
        </w:rPr>
        <w:t xml:space="preserve">REKOMENDACINIO POBŪDŽIO </w:t>
      </w:r>
      <w:r w:rsidRPr="00C5156F">
        <w:rPr>
          <w:b/>
          <w:bCs/>
        </w:rPr>
        <w:t>PASIŪLYMŲ ĮGYVENDINIMAS</w:t>
      </w:r>
      <w:r w:rsidRPr="00C5156F">
        <w:rPr>
          <w:rStyle w:val="Puslapioinaosnuoroda"/>
          <w:b/>
          <w:bCs/>
        </w:rPr>
        <w:footnoteReference w:id="1"/>
      </w:r>
    </w:p>
    <w:p w14:paraId="711CD6AE" w14:textId="77777777" w:rsidR="00694944" w:rsidRPr="00C5156F" w:rsidRDefault="00694944" w:rsidP="00694944">
      <w:pPr>
        <w:jc w:val="center"/>
        <w:rPr>
          <w:b/>
          <w:bCs/>
        </w:rPr>
      </w:pPr>
    </w:p>
    <w:p w14:paraId="692CC0F2" w14:textId="77777777" w:rsidR="0034418E" w:rsidRDefault="0034418E" w:rsidP="0034418E"/>
    <w:tbl>
      <w:tblPr>
        <w:tblStyle w:val="Lentelstinklelis"/>
        <w:tblW w:w="0" w:type="auto"/>
        <w:tblLook w:val="04A0" w:firstRow="1" w:lastRow="0" w:firstColumn="1" w:lastColumn="0" w:noHBand="0" w:noVBand="1"/>
      </w:tblPr>
      <w:tblGrid>
        <w:gridCol w:w="3188"/>
        <w:gridCol w:w="16"/>
        <w:gridCol w:w="3186"/>
        <w:gridCol w:w="20"/>
        <w:gridCol w:w="5936"/>
        <w:gridCol w:w="1930"/>
      </w:tblGrid>
      <w:tr w:rsidR="00235992" w:rsidRPr="002B3452" w14:paraId="2B949321" w14:textId="77777777" w:rsidTr="00801708">
        <w:tc>
          <w:tcPr>
            <w:tcW w:w="3204" w:type="dxa"/>
            <w:gridSpan w:val="2"/>
          </w:tcPr>
          <w:p w14:paraId="2237D327" w14:textId="77777777" w:rsidR="0037500E" w:rsidRPr="008F1D8D" w:rsidRDefault="0037500E">
            <w:pPr>
              <w:widowControl w:val="0"/>
              <w:jc w:val="center"/>
              <w:rPr>
                <w:i/>
                <w:snapToGrid w:val="0"/>
              </w:rPr>
            </w:pPr>
            <w:r w:rsidRPr="008F1D8D">
              <w:rPr>
                <w:i/>
                <w:snapToGrid w:val="0"/>
              </w:rPr>
              <w:t>Pateiktos pastabos</w:t>
            </w:r>
          </w:p>
        </w:tc>
        <w:tc>
          <w:tcPr>
            <w:tcW w:w="3206" w:type="dxa"/>
            <w:gridSpan w:val="2"/>
          </w:tcPr>
          <w:p w14:paraId="52AC4B25" w14:textId="77777777" w:rsidR="0037500E" w:rsidRPr="008F1D8D" w:rsidRDefault="0037500E">
            <w:pPr>
              <w:widowControl w:val="0"/>
              <w:jc w:val="center"/>
              <w:rPr>
                <w:i/>
                <w:snapToGrid w:val="0"/>
              </w:rPr>
            </w:pPr>
            <w:r w:rsidRPr="008F1D8D">
              <w:rPr>
                <w:i/>
                <w:snapToGrid w:val="0"/>
              </w:rPr>
              <w:t>Pasiūlymai atsižvelgiant į pateiktas pastabas</w:t>
            </w:r>
          </w:p>
        </w:tc>
        <w:tc>
          <w:tcPr>
            <w:tcW w:w="5936" w:type="dxa"/>
          </w:tcPr>
          <w:p w14:paraId="36CBAB53" w14:textId="77777777" w:rsidR="0037500E" w:rsidRPr="008F1D8D" w:rsidRDefault="0037500E">
            <w:pPr>
              <w:widowControl w:val="0"/>
              <w:jc w:val="center"/>
              <w:rPr>
                <w:i/>
                <w:snapToGrid w:val="0"/>
              </w:rPr>
            </w:pPr>
            <w:r w:rsidRPr="008F1D8D">
              <w:rPr>
                <w:i/>
                <w:snapToGrid w:val="0"/>
              </w:rPr>
              <w:t>Duomenys apie pastabų ir pasiūlymų įgyvendinimą</w:t>
            </w:r>
          </w:p>
        </w:tc>
        <w:tc>
          <w:tcPr>
            <w:tcW w:w="1930" w:type="dxa"/>
          </w:tcPr>
          <w:p w14:paraId="3E7863AC" w14:textId="77777777" w:rsidR="0037500E" w:rsidRPr="008F1D8D" w:rsidRDefault="0037500E">
            <w:pPr>
              <w:widowControl w:val="0"/>
              <w:jc w:val="center"/>
              <w:rPr>
                <w:i/>
                <w:snapToGrid w:val="0"/>
              </w:rPr>
            </w:pPr>
            <w:r w:rsidRPr="008F1D8D">
              <w:rPr>
                <w:i/>
                <w:snapToGrid w:val="0"/>
              </w:rPr>
              <w:t>Specialiųjų tyrimų tarnybos vertinimas</w:t>
            </w:r>
          </w:p>
        </w:tc>
      </w:tr>
      <w:tr w:rsidR="0037500E" w:rsidRPr="002B3452" w14:paraId="27BD7A2B" w14:textId="77777777" w:rsidTr="0054636E">
        <w:tc>
          <w:tcPr>
            <w:tcW w:w="14276" w:type="dxa"/>
            <w:gridSpan w:val="6"/>
          </w:tcPr>
          <w:p w14:paraId="7DDD2410" w14:textId="77777777" w:rsidR="0037500E" w:rsidRPr="008F1D8D" w:rsidRDefault="0037500E">
            <w:pPr>
              <w:pStyle w:val="Sraopastraipa"/>
              <w:widowControl w:val="0"/>
              <w:numPr>
                <w:ilvl w:val="0"/>
                <w:numId w:val="1"/>
              </w:numPr>
              <w:jc w:val="center"/>
              <w:rPr>
                <w:i/>
                <w:snapToGrid w:val="0"/>
              </w:rPr>
            </w:pPr>
            <w:r w:rsidRPr="008F1D8D">
              <w:rPr>
                <w:i/>
                <w:snapToGrid w:val="0"/>
              </w:rPr>
              <w:t>Kritinės antikorupcinės pastabos</w:t>
            </w:r>
          </w:p>
        </w:tc>
      </w:tr>
      <w:tr w:rsidR="00235992" w:rsidRPr="002B3452" w14:paraId="578637E3" w14:textId="77777777" w:rsidTr="0028098F">
        <w:trPr>
          <w:trHeight w:val="699"/>
        </w:trPr>
        <w:tc>
          <w:tcPr>
            <w:tcW w:w="3204" w:type="dxa"/>
            <w:gridSpan w:val="2"/>
          </w:tcPr>
          <w:p w14:paraId="0F50EB70" w14:textId="77777777" w:rsidR="0037500E" w:rsidRDefault="009D3C12" w:rsidP="0059712F">
            <w:pPr>
              <w:spacing w:line="360" w:lineRule="auto"/>
              <w:jc w:val="both"/>
              <w:rPr>
                <w:i/>
                <w:iCs/>
              </w:rPr>
            </w:pPr>
            <w:r w:rsidRPr="00C5004D">
              <w:t xml:space="preserve">1. </w:t>
            </w:r>
            <w:r w:rsidR="004A774D" w:rsidRPr="00C5004D">
              <w:t xml:space="preserve">Neatliekami rinkos tyrimai, o techninių specifikacijų sąlygos rengiamos pagal konkrečių tiekėjų turimų konkrečių automobilių technines charakteristikas, todėl naudotų gaisrinių automobilių pirkimuose ženkliai dominuoja vieno tiekėjo pirkimai. Taip pat nustatyta atvejų, kai didesni pirkimai neskaidomi į dalis ar siekiama išvengti skelbiamo pirkimo būdo. Tai kelia piktnaudžiavimo, kyšininkavimo, papirkimo </w:t>
            </w:r>
            <w:r w:rsidR="004A774D" w:rsidRPr="00C5004D">
              <w:lastRenderedPageBreak/>
              <w:t xml:space="preserve">rizikas </w:t>
            </w:r>
            <w:r w:rsidR="004A774D" w:rsidRPr="00C5004D">
              <w:rPr>
                <w:i/>
                <w:iCs/>
              </w:rPr>
              <w:t xml:space="preserve">(motyvai išdėstyti 3.1 skirsnyje). </w:t>
            </w:r>
          </w:p>
          <w:p w14:paraId="2B047CF1" w14:textId="3BED19E9" w:rsidR="00457617" w:rsidRPr="0028098F" w:rsidRDefault="00457617" w:rsidP="0059712F">
            <w:pPr>
              <w:spacing w:line="360" w:lineRule="auto"/>
              <w:jc w:val="both"/>
              <w:rPr>
                <w:i/>
                <w:iCs/>
              </w:rPr>
            </w:pPr>
          </w:p>
        </w:tc>
        <w:tc>
          <w:tcPr>
            <w:tcW w:w="3206" w:type="dxa"/>
            <w:gridSpan w:val="2"/>
          </w:tcPr>
          <w:p w14:paraId="4A3E96BD" w14:textId="428E5937" w:rsidR="004A774D" w:rsidRPr="00C5004D" w:rsidRDefault="009D3C12" w:rsidP="0059712F">
            <w:pPr>
              <w:spacing w:line="360" w:lineRule="auto"/>
              <w:jc w:val="both"/>
            </w:pPr>
            <w:r w:rsidRPr="00C5004D">
              <w:lastRenderedPageBreak/>
              <w:t xml:space="preserve">1. </w:t>
            </w:r>
            <w:r w:rsidR="004A774D" w:rsidRPr="00C5004D">
              <w:t>Imtis priemonių siekiant užtikrinti, kad vykdant centralizuotus pirkimus pirkimo iniciatoriai pateiktų rinkos tyrimus, kurie būtų įvertinti, siekiant nustatyti, ar pirkimo sąlygos užtikrina pakankamą konkurenciją, nustatyti reikiamas kontrolės procedūras.</w:t>
            </w:r>
          </w:p>
          <w:p w14:paraId="62D0B4B5" w14:textId="5971C5A0" w:rsidR="004A774D" w:rsidRPr="00C5004D" w:rsidRDefault="004A774D" w:rsidP="0059712F">
            <w:pPr>
              <w:spacing w:line="360" w:lineRule="auto"/>
              <w:jc w:val="both"/>
            </w:pPr>
            <w:r w:rsidRPr="00C5004D">
              <w:t xml:space="preserve"> </w:t>
            </w:r>
          </w:p>
          <w:p w14:paraId="2344626C" w14:textId="77777777" w:rsidR="00EA5AB7" w:rsidRPr="00C5004D" w:rsidRDefault="00EA5AB7" w:rsidP="0059712F">
            <w:pPr>
              <w:spacing w:line="360" w:lineRule="auto"/>
              <w:jc w:val="both"/>
            </w:pPr>
          </w:p>
          <w:p w14:paraId="0A511761" w14:textId="77777777" w:rsidR="00EA5AB7" w:rsidRPr="00C5004D" w:rsidRDefault="00EA5AB7" w:rsidP="0059712F">
            <w:pPr>
              <w:spacing w:line="360" w:lineRule="auto"/>
              <w:jc w:val="both"/>
            </w:pPr>
          </w:p>
          <w:p w14:paraId="1DBDEE9F" w14:textId="77777777" w:rsidR="00EA5AB7" w:rsidRPr="00C5004D" w:rsidRDefault="00EA5AB7" w:rsidP="0059712F">
            <w:pPr>
              <w:spacing w:line="360" w:lineRule="auto"/>
              <w:jc w:val="both"/>
            </w:pPr>
          </w:p>
          <w:p w14:paraId="0CF22885" w14:textId="77777777" w:rsidR="00EA5AB7" w:rsidRPr="00C5004D" w:rsidRDefault="00EA5AB7" w:rsidP="0059712F">
            <w:pPr>
              <w:spacing w:line="360" w:lineRule="auto"/>
              <w:jc w:val="both"/>
            </w:pPr>
          </w:p>
          <w:p w14:paraId="16D76AF5" w14:textId="77777777" w:rsidR="00EA5AB7" w:rsidRPr="00C5004D" w:rsidRDefault="00EA5AB7" w:rsidP="0059712F">
            <w:pPr>
              <w:spacing w:line="360" w:lineRule="auto"/>
              <w:jc w:val="both"/>
            </w:pPr>
          </w:p>
          <w:p w14:paraId="663A01AA" w14:textId="17E91C45" w:rsidR="0037500E" w:rsidRPr="00C5004D" w:rsidRDefault="0037500E" w:rsidP="0059712F">
            <w:pPr>
              <w:spacing w:line="360" w:lineRule="auto"/>
              <w:jc w:val="both"/>
            </w:pPr>
          </w:p>
        </w:tc>
        <w:tc>
          <w:tcPr>
            <w:tcW w:w="5936" w:type="dxa"/>
          </w:tcPr>
          <w:p w14:paraId="5A5EC7F9" w14:textId="23C5F04E" w:rsidR="00762994" w:rsidRPr="00223DCE" w:rsidRDefault="00B24082" w:rsidP="007615FC">
            <w:pPr>
              <w:spacing w:line="360" w:lineRule="auto"/>
              <w:jc w:val="both"/>
              <w:rPr>
                <w:snapToGrid w:val="0"/>
              </w:rPr>
            </w:pPr>
            <w:r w:rsidRPr="00B24082">
              <w:rPr>
                <w:b/>
                <w:snapToGrid w:val="0"/>
              </w:rPr>
              <w:lastRenderedPageBreak/>
              <w:t>Įgyvendinta.</w:t>
            </w:r>
            <w:r>
              <w:rPr>
                <w:snapToGrid w:val="0"/>
              </w:rPr>
              <w:t xml:space="preserve"> Ukmergės rajono savivaldybės administracijos direktoriaus 2024 m. rugsėjo 9 d. įsakymu Nr. 13-1063 „Dėl Ukmergės rajono savivaldybės administracijos viešųjų pirkimų organizavimo ir vidaus kontrolės tvarkos aprašo patvirtinimo“ patvirtinto Ukmergės rajono savivaldybės administracijos viešųjų pirkimų organizavimo ir vidaus kontrolės tvarkos aprašo (toliau – Tvarkos aprašas) 23.2 punkte pirkimo iniciatoriams nustatytas reikalavimas vykdyti rinkos tyrimus bei pildyti rinkos tyrimo pažymas vykdant pirkimus, kurių vertė didesnė nei 15000,00 Eur be PVM.</w:t>
            </w:r>
          </w:p>
        </w:tc>
        <w:tc>
          <w:tcPr>
            <w:tcW w:w="1930" w:type="dxa"/>
          </w:tcPr>
          <w:p w14:paraId="012A86E9" w14:textId="77777777" w:rsidR="0037500E" w:rsidRPr="002B3452" w:rsidRDefault="0037500E">
            <w:pPr>
              <w:widowControl w:val="0"/>
              <w:rPr>
                <w:snapToGrid w:val="0"/>
              </w:rPr>
            </w:pPr>
          </w:p>
        </w:tc>
      </w:tr>
      <w:tr w:rsidR="00C5004D" w:rsidRPr="002B3452" w14:paraId="024F4D70" w14:textId="77777777" w:rsidTr="00C5004D">
        <w:trPr>
          <w:trHeight w:val="3538"/>
        </w:trPr>
        <w:tc>
          <w:tcPr>
            <w:tcW w:w="3204" w:type="dxa"/>
            <w:gridSpan w:val="2"/>
          </w:tcPr>
          <w:p w14:paraId="76BE08F4" w14:textId="5FFEBB8A" w:rsidR="00C5004D" w:rsidRDefault="0059712F" w:rsidP="0059712F">
            <w:pPr>
              <w:spacing w:line="360" w:lineRule="auto"/>
              <w:jc w:val="both"/>
            </w:pPr>
            <w:r w:rsidRPr="00C5004D">
              <w:t xml:space="preserve">2. Situacijos, kuomet su naudotu gaisriniu automobiliu perkama </w:t>
            </w:r>
            <w:bookmarkStart w:id="0" w:name="_Hlk220926759"/>
            <w:r w:rsidRPr="00C5004D">
              <w:t>papildoma įranga, kurią gali pateikti ir kiti tiekėjai, neprekiaujantys naudotais gaisriniais automobiliais kelia neteisėtų susitarimų rizikas, riboja konkurenciją – užkerta keli</w:t>
            </w:r>
            <w:r w:rsidR="00D33F4E">
              <w:t>ą</w:t>
            </w:r>
            <w:r w:rsidRPr="00C5004D">
              <w:t xml:space="preserve"> pirkimuose dalyvauti įmonėms, prekiaujančioms papildoma įranga, tačiau neprekiaujančioms naudotais gaisriniais automobiliais </w:t>
            </w:r>
            <w:bookmarkEnd w:id="0"/>
            <w:r w:rsidRPr="00C5004D">
              <w:t>(motyvai išdėstyti 3.2 skirsnyje).</w:t>
            </w:r>
          </w:p>
          <w:p w14:paraId="41A87D51" w14:textId="10BAC75C" w:rsidR="00457617" w:rsidRPr="00C5004D" w:rsidRDefault="00457617" w:rsidP="0059712F">
            <w:pPr>
              <w:spacing w:line="360" w:lineRule="auto"/>
              <w:jc w:val="both"/>
            </w:pPr>
          </w:p>
        </w:tc>
        <w:tc>
          <w:tcPr>
            <w:tcW w:w="3206" w:type="dxa"/>
            <w:gridSpan w:val="2"/>
          </w:tcPr>
          <w:p w14:paraId="15C7E262" w14:textId="732D3908" w:rsidR="0059712F" w:rsidRPr="0059712F" w:rsidRDefault="0059712F" w:rsidP="0059712F">
            <w:pPr>
              <w:spacing w:line="360" w:lineRule="auto"/>
              <w:jc w:val="both"/>
            </w:pPr>
            <w:r w:rsidRPr="0059712F">
              <w:t xml:space="preserve">2. </w:t>
            </w:r>
            <w:bookmarkStart w:id="1" w:name="_Hlk220926801"/>
            <w:r w:rsidRPr="0059712F">
              <w:t>Vykdant naudotų gaisrinių automobilių centralizuot</w:t>
            </w:r>
            <w:r w:rsidR="00D33F4E">
              <w:t>u</w:t>
            </w:r>
            <w:r w:rsidRPr="0059712F">
              <w:t>s pirkimus, skaidyti naudotų gaisrinių automobilių ir reikalingos papildomos įrangos pi</w:t>
            </w:r>
            <w:r w:rsidR="00D33F4E">
              <w:t>r</w:t>
            </w:r>
            <w:r w:rsidRPr="0059712F">
              <w:t>kimus į dalis arba vykdyti atskirus pirkimus</w:t>
            </w:r>
            <w:r w:rsidR="00D33F4E">
              <w:t xml:space="preserve">. </w:t>
            </w:r>
            <w:r w:rsidRPr="0059712F">
              <w:t xml:space="preserve"> </w:t>
            </w:r>
          </w:p>
          <w:bookmarkEnd w:id="1"/>
          <w:p w14:paraId="77DC673C" w14:textId="77777777" w:rsidR="00C5004D" w:rsidRPr="00C5004D" w:rsidRDefault="00C5004D" w:rsidP="0059712F">
            <w:pPr>
              <w:spacing w:line="360" w:lineRule="auto"/>
              <w:jc w:val="both"/>
            </w:pPr>
          </w:p>
        </w:tc>
        <w:tc>
          <w:tcPr>
            <w:tcW w:w="5936" w:type="dxa"/>
          </w:tcPr>
          <w:p w14:paraId="697E7924" w14:textId="7A5085CC" w:rsidR="00F05F71" w:rsidRDefault="00AA333E" w:rsidP="00F05F71">
            <w:pPr>
              <w:spacing w:line="360" w:lineRule="auto"/>
              <w:jc w:val="both"/>
            </w:pPr>
            <w:r>
              <w:rPr>
                <w:b/>
                <w:snapToGrid w:val="0"/>
              </w:rPr>
              <w:t xml:space="preserve">Pasiūlymas </w:t>
            </w:r>
            <w:r w:rsidR="009C3DB3">
              <w:rPr>
                <w:b/>
                <w:snapToGrid w:val="0"/>
              </w:rPr>
              <w:t>įgyvendin</w:t>
            </w:r>
            <w:r>
              <w:rPr>
                <w:b/>
                <w:snapToGrid w:val="0"/>
              </w:rPr>
              <w:t xml:space="preserve">amas. </w:t>
            </w:r>
            <w:r w:rsidR="0062138F" w:rsidRPr="0062138F">
              <w:rPr>
                <w:bCs/>
                <w:snapToGrid w:val="0"/>
              </w:rPr>
              <w:t xml:space="preserve">Ukmergės rajono savivaldybės administracijos </w:t>
            </w:r>
            <w:r w:rsidRPr="0048250E">
              <w:t>Centralizuotų viešųjų pirkimų skyriaus vedėja 202</w:t>
            </w:r>
            <w:r>
              <w:t>6</w:t>
            </w:r>
            <w:r w:rsidRPr="0048250E">
              <w:t>-0</w:t>
            </w:r>
            <w:r>
              <w:t>2</w:t>
            </w:r>
            <w:r w:rsidRPr="0048250E">
              <w:t>-</w:t>
            </w:r>
            <w:r>
              <w:t>02</w:t>
            </w:r>
            <w:r w:rsidRPr="0048250E">
              <w:t xml:space="preserve"> elektroniniais laiškais informavo </w:t>
            </w:r>
            <w:r w:rsidR="00F05F71">
              <w:t xml:space="preserve">viešųjų pirkimų skyriaus darbuotojus </w:t>
            </w:r>
            <w:r w:rsidRPr="0048250E">
              <w:t>apie būtinybę</w:t>
            </w:r>
            <w:r w:rsidR="00F05F71">
              <w:t>,</w:t>
            </w:r>
            <w:r w:rsidRPr="0048250E">
              <w:t xml:space="preserve"> </w:t>
            </w:r>
            <w:r w:rsidR="00F05F71">
              <w:t>v</w:t>
            </w:r>
            <w:r w:rsidR="00F05F71" w:rsidRPr="0059712F">
              <w:t>ykdant naudotų gaisrinių automobilių centralizuot</w:t>
            </w:r>
            <w:r w:rsidR="00F05F71">
              <w:t>u</w:t>
            </w:r>
            <w:r w:rsidR="00F05F71" w:rsidRPr="0059712F">
              <w:t>s pirkimus, skaidyti naudotų gaisrinių automobilių ir reikalingos papildomos įrangos pi</w:t>
            </w:r>
            <w:r w:rsidR="00F05F71">
              <w:t>r</w:t>
            </w:r>
            <w:r w:rsidR="00F05F71" w:rsidRPr="0059712F">
              <w:t>kimus į dalis arba vykdyti atskirus pirkimus</w:t>
            </w:r>
            <w:r w:rsidR="00F05F71">
              <w:t>.</w:t>
            </w:r>
          </w:p>
          <w:p w14:paraId="5D716EB1" w14:textId="65F26CA6" w:rsidR="00AA333E" w:rsidRPr="009C3DB3" w:rsidRDefault="00AA333E" w:rsidP="00F05F71">
            <w:pPr>
              <w:spacing w:line="360" w:lineRule="auto"/>
              <w:jc w:val="both"/>
              <w:rPr>
                <w:b/>
                <w:snapToGrid w:val="0"/>
              </w:rPr>
            </w:pPr>
          </w:p>
        </w:tc>
        <w:tc>
          <w:tcPr>
            <w:tcW w:w="1930" w:type="dxa"/>
          </w:tcPr>
          <w:p w14:paraId="63B06CEB" w14:textId="77777777" w:rsidR="00C5004D" w:rsidRPr="002B3452" w:rsidRDefault="00C5004D">
            <w:pPr>
              <w:widowControl w:val="0"/>
              <w:rPr>
                <w:snapToGrid w:val="0"/>
              </w:rPr>
            </w:pPr>
          </w:p>
        </w:tc>
      </w:tr>
      <w:tr w:rsidR="00C5004D" w:rsidRPr="002B3452" w14:paraId="1CA7A68E" w14:textId="77777777" w:rsidTr="00C5004D">
        <w:trPr>
          <w:trHeight w:val="845"/>
        </w:trPr>
        <w:tc>
          <w:tcPr>
            <w:tcW w:w="3204" w:type="dxa"/>
            <w:gridSpan w:val="2"/>
          </w:tcPr>
          <w:p w14:paraId="0A05CF79" w14:textId="77777777" w:rsidR="00C5004D" w:rsidRDefault="0059712F" w:rsidP="0059712F">
            <w:pPr>
              <w:spacing w:line="360" w:lineRule="auto"/>
              <w:jc w:val="both"/>
            </w:pPr>
            <w:r w:rsidRPr="0059712F">
              <w:t xml:space="preserve">3. Tiekėjų pasiūlymų atitiktis kai kuriems techninių specifikacijų reikalavimams </w:t>
            </w:r>
            <w:r w:rsidRPr="0059712F">
              <w:lastRenderedPageBreak/>
              <w:t>įrodinėjama nepatikimais, pačių tiekėjų, kurie suinteresuoti pirkimo procedūrų baigtimi, deklaruojamais duomenimis. Tai kelia neteisėtų susitarimų, piktnaudžiavimo ir subjektyvių sprendimų rizikas (motyvai išdėstyti 3.3 skirsnyje).</w:t>
            </w:r>
          </w:p>
          <w:p w14:paraId="2EC144E2" w14:textId="1A4E6BAC" w:rsidR="00457617" w:rsidRPr="00C5004D" w:rsidRDefault="00457617" w:rsidP="0059712F">
            <w:pPr>
              <w:spacing w:line="360" w:lineRule="auto"/>
              <w:jc w:val="both"/>
            </w:pPr>
          </w:p>
        </w:tc>
        <w:tc>
          <w:tcPr>
            <w:tcW w:w="3206" w:type="dxa"/>
            <w:gridSpan w:val="2"/>
          </w:tcPr>
          <w:p w14:paraId="599226EA" w14:textId="77777777" w:rsidR="0059712F" w:rsidRPr="0059712F" w:rsidRDefault="0059712F" w:rsidP="0059712F">
            <w:pPr>
              <w:spacing w:line="360" w:lineRule="auto"/>
              <w:jc w:val="both"/>
            </w:pPr>
            <w:r w:rsidRPr="0059712F">
              <w:lastRenderedPageBreak/>
              <w:t xml:space="preserve">3. Rengiant ir tvirtinant gaisrinių automobilių pirkimo sąlygas bei vykdant pirkimus, </w:t>
            </w:r>
            <w:r w:rsidRPr="0059712F">
              <w:lastRenderedPageBreak/>
              <w:t xml:space="preserve">vertinant tiekėjų pasiūlymus, reikalauti, kad tiekėjų pasiūlymų atitiktis techniniams reikalavimams būtų pagrįsta gamintojų techniniais dokumentais ar kitais lygiaverčiais duomenimis. </w:t>
            </w:r>
          </w:p>
          <w:p w14:paraId="477C5CE1" w14:textId="77777777" w:rsidR="00C5004D" w:rsidRPr="00C5004D" w:rsidRDefault="00C5004D" w:rsidP="0059712F">
            <w:pPr>
              <w:spacing w:line="360" w:lineRule="auto"/>
              <w:jc w:val="both"/>
            </w:pPr>
          </w:p>
        </w:tc>
        <w:tc>
          <w:tcPr>
            <w:tcW w:w="5936" w:type="dxa"/>
          </w:tcPr>
          <w:p w14:paraId="09040839" w14:textId="7D2D176A" w:rsidR="00C5004D" w:rsidRPr="00223DCE" w:rsidRDefault="009723B1" w:rsidP="007615FC">
            <w:pPr>
              <w:spacing w:line="360" w:lineRule="auto"/>
              <w:jc w:val="both"/>
              <w:rPr>
                <w:snapToGrid w:val="0"/>
              </w:rPr>
            </w:pPr>
            <w:r w:rsidRPr="009723B1">
              <w:rPr>
                <w:b/>
                <w:snapToGrid w:val="0"/>
              </w:rPr>
              <w:lastRenderedPageBreak/>
              <w:t>Įgyvendinta.</w:t>
            </w:r>
            <w:r>
              <w:rPr>
                <w:snapToGrid w:val="0"/>
              </w:rPr>
              <w:t xml:space="preserve"> Ukmergės rajono savivaldybės administracija, vykdydama gaisrinių automobilių pirkimus, pirkimo sąlygose nustato reikalavimą, kartu su pasiūlymu </w:t>
            </w:r>
            <w:r>
              <w:rPr>
                <w:snapToGrid w:val="0"/>
              </w:rPr>
              <w:lastRenderedPageBreak/>
              <w:t xml:space="preserve">pateikti dokumentus, įrodančius atitiktį keliamiems techniniams reikalavimams. </w:t>
            </w:r>
          </w:p>
        </w:tc>
        <w:tc>
          <w:tcPr>
            <w:tcW w:w="1930" w:type="dxa"/>
          </w:tcPr>
          <w:p w14:paraId="7ABC1612" w14:textId="77777777" w:rsidR="00C5004D" w:rsidRPr="002B3452" w:rsidRDefault="00C5004D">
            <w:pPr>
              <w:widowControl w:val="0"/>
              <w:rPr>
                <w:snapToGrid w:val="0"/>
              </w:rPr>
            </w:pPr>
          </w:p>
        </w:tc>
      </w:tr>
      <w:tr w:rsidR="00EA5AB7" w:rsidRPr="002B3452" w14:paraId="732DD17C" w14:textId="77777777" w:rsidTr="00C5004D">
        <w:trPr>
          <w:trHeight w:val="70"/>
        </w:trPr>
        <w:tc>
          <w:tcPr>
            <w:tcW w:w="3204" w:type="dxa"/>
            <w:gridSpan w:val="2"/>
          </w:tcPr>
          <w:p w14:paraId="29D1ABE4" w14:textId="77777777" w:rsidR="0059712F" w:rsidRPr="0059712F" w:rsidRDefault="0059712F" w:rsidP="0059712F">
            <w:pPr>
              <w:spacing w:line="360" w:lineRule="auto"/>
              <w:jc w:val="both"/>
              <w:rPr>
                <w:iCs/>
              </w:rPr>
            </w:pPr>
            <w:r w:rsidRPr="0059712F">
              <w:t>4. Ukmergės rajono SPT vadovo ryšiai su tiekėjais kelia piktnaudžiavimo, neteisėtų susitarimų rizikas dėl palankių sąlygų sudarymo atskiriems tiekėjams laimėti naudotų gaisrinių automobilių pirkimus (motyvai išdėstyti 3.8 skirsnyje).</w:t>
            </w:r>
          </w:p>
          <w:p w14:paraId="486A0D33" w14:textId="77777777" w:rsidR="00EA5AB7" w:rsidRDefault="00EA5AB7" w:rsidP="0059712F">
            <w:pPr>
              <w:spacing w:line="360" w:lineRule="auto"/>
              <w:jc w:val="both"/>
            </w:pPr>
          </w:p>
        </w:tc>
        <w:tc>
          <w:tcPr>
            <w:tcW w:w="3206" w:type="dxa"/>
            <w:gridSpan w:val="2"/>
          </w:tcPr>
          <w:p w14:paraId="7E7D0B96" w14:textId="28F1E2B7" w:rsidR="00EA5AB7" w:rsidRDefault="0059712F" w:rsidP="0059712F">
            <w:pPr>
              <w:spacing w:line="360" w:lineRule="auto"/>
              <w:jc w:val="both"/>
            </w:pPr>
            <w:r w:rsidRPr="00C5004D">
              <w:t>4. Ukmergės rajono savivaldybės merui siūlome teisės aktų nustatyta tvarka įvertinti nurodytas aplinkybes dėl Ukmergės rajono SPT veiklos vykdant naudotų automobilių pirkimus iš tiekėjų, kuri</w:t>
            </w:r>
            <w:r w:rsidR="00D33F4E">
              <w:t>u</w:t>
            </w:r>
            <w:r w:rsidRPr="00C5004D">
              <w:t xml:space="preserve">os siejo verslo santykiai su Ukmergės rajono SPT vadovo artimais asmenimis, privačių interesų deklaravimo bei spręsti dėl Ukmergės rajono SPT vadovo </w:t>
            </w:r>
            <w:r w:rsidRPr="00C5004D">
              <w:lastRenderedPageBreak/>
              <w:t>atsakomybės ir galimybės toliau eiti Ukmergės rajono SPT vadovo pareigas.</w:t>
            </w:r>
          </w:p>
          <w:p w14:paraId="27894395" w14:textId="53AF57AC" w:rsidR="00457617" w:rsidRDefault="00457617" w:rsidP="0059712F">
            <w:pPr>
              <w:spacing w:line="360" w:lineRule="auto"/>
              <w:jc w:val="both"/>
            </w:pPr>
          </w:p>
        </w:tc>
        <w:tc>
          <w:tcPr>
            <w:tcW w:w="5936" w:type="dxa"/>
          </w:tcPr>
          <w:p w14:paraId="38345EE6" w14:textId="531FDC2E" w:rsidR="00C274D5" w:rsidRPr="00C274D5" w:rsidRDefault="00C274D5" w:rsidP="00C274D5">
            <w:pPr>
              <w:jc w:val="both"/>
              <w:rPr>
                <w:b/>
                <w:bCs/>
              </w:rPr>
            </w:pPr>
            <w:r w:rsidRPr="00C274D5">
              <w:rPr>
                <w:b/>
                <w:bCs/>
              </w:rPr>
              <w:lastRenderedPageBreak/>
              <w:t>Pasiūlymas neaktualus.</w:t>
            </w:r>
          </w:p>
          <w:p w14:paraId="4D816E6D" w14:textId="77777777" w:rsidR="00C274D5" w:rsidRDefault="00C274D5" w:rsidP="00C274D5">
            <w:pPr>
              <w:jc w:val="both"/>
            </w:pPr>
          </w:p>
          <w:p w14:paraId="57F26DBD" w14:textId="1618CE57" w:rsidR="00EA5AB7" w:rsidRDefault="004C7674" w:rsidP="004C7674">
            <w:pPr>
              <w:spacing w:line="360" w:lineRule="auto"/>
              <w:jc w:val="both"/>
            </w:pPr>
            <w:bookmarkStart w:id="2" w:name="_Hlk184892037"/>
            <w:r>
              <w:t xml:space="preserve">Ukmergės rajono savivaldybės priešgaisrinės tarnybos direktorius atleistas iš </w:t>
            </w:r>
            <w:bookmarkEnd w:id="2"/>
            <w:r>
              <w:t>pareigų 2025 m. gegužės 30 d. (Ukmergės rajono savivaldybės mero 2025 m. gegužės 21 d. potvarkis Nr. 10-91).</w:t>
            </w:r>
          </w:p>
        </w:tc>
        <w:tc>
          <w:tcPr>
            <w:tcW w:w="1930" w:type="dxa"/>
          </w:tcPr>
          <w:p w14:paraId="0A68D7DC" w14:textId="77777777" w:rsidR="00EA5AB7" w:rsidRPr="002B3452" w:rsidRDefault="00EA5AB7">
            <w:pPr>
              <w:widowControl w:val="0"/>
              <w:rPr>
                <w:snapToGrid w:val="0"/>
              </w:rPr>
            </w:pPr>
          </w:p>
        </w:tc>
      </w:tr>
      <w:tr w:rsidR="00801708" w:rsidRPr="002B3452" w14:paraId="35B168C1" w14:textId="77777777" w:rsidTr="00801708">
        <w:tc>
          <w:tcPr>
            <w:tcW w:w="14276" w:type="dxa"/>
            <w:gridSpan w:val="6"/>
          </w:tcPr>
          <w:p w14:paraId="28CC0390" w14:textId="3E0930D8" w:rsidR="00801708" w:rsidRPr="008F1D8D" w:rsidRDefault="000D4B5C" w:rsidP="000D4B5C">
            <w:pPr>
              <w:spacing w:line="360" w:lineRule="auto"/>
              <w:jc w:val="center"/>
              <w:rPr>
                <w:i/>
                <w:snapToGrid w:val="0"/>
              </w:rPr>
            </w:pPr>
            <w:r>
              <w:rPr>
                <w:i/>
                <w:snapToGrid w:val="0"/>
              </w:rPr>
              <w:t xml:space="preserve">2. </w:t>
            </w:r>
            <w:r w:rsidR="00801708" w:rsidRPr="008F1D8D">
              <w:rPr>
                <w:i/>
                <w:snapToGrid w:val="0"/>
              </w:rPr>
              <w:t>Kitos antikorupcinės pastabos</w:t>
            </w:r>
          </w:p>
        </w:tc>
      </w:tr>
      <w:tr w:rsidR="00801708" w:rsidRPr="002B3452" w14:paraId="0526A45B" w14:textId="77777777" w:rsidTr="00801708">
        <w:tc>
          <w:tcPr>
            <w:tcW w:w="3188" w:type="dxa"/>
          </w:tcPr>
          <w:p w14:paraId="08F90DCE" w14:textId="77777777" w:rsidR="003937F0" w:rsidRDefault="00C5004D" w:rsidP="0059712F">
            <w:pPr>
              <w:spacing w:line="360" w:lineRule="auto"/>
              <w:jc w:val="both"/>
            </w:pPr>
            <w:r>
              <w:t>5</w:t>
            </w:r>
            <w:r w:rsidR="003937F0" w:rsidRPr="00C5004D">
              <w:t xml:space="preserve">. Nustatyti atvejai dėl neproporcingai trumpų, galimai konkurenciją ribojančių pasiūlymų pateikimo, naudotų gaisrinių automobilių pristatymo terminų. Tai kelia neteisėtų susitarimų rizikas (motyvai išdėstyti 3.4 skirsnyje). </w:t>
            </w:r>
          </w:p>
          <w:p w14:paraId="720C8BDA" w14:textId="77FA6AF3" w:rsidR="00457617" w:rsidRPr="0059712F" w:rsidRDefault="00457617" w:rsidP="0059712F">
            <w:pPr>
              <w:spacing w:line="360" w:lineRule="auto"/>
              <w:jc w:val="both"/>
            </w:pPr>
          </w:p>
        </w:tc>
        <w:tc>
          <w:tcPr>
            <w:tcW w:w="3202" w:type="dxa"/>
            <w:gridSpan w:val="2"/>
          </w:tcPr>
          <w:p w14:paraId="665E1EEE" w14:textId="787B9B7E" w:rsidR="00801708" w:rsidRPr="0059712F" w:rsidRDefault="00C5004D" w:rsidP="0059712F">
            <w:pPr>
              <w:spacing w:line="360" w:lineRule="auto"/>
              <w:jc w:val="both"/>
            </w:pPr>
            <w:r>
              <w:t>5</w:t>
            </w:r>
            <w:r w:rsidR="003937F0" w:rsidRPr="00C5004D">
              <w:t>. Nustatant pasiūlymų pateikimo, automobilių pristatymo terminus atsižvelgti į pirkimo objekto specifiką, rinkos aplinkybes, viešųjų pirkimų principus ir kitus reikalavimus</w:t>
            </w:r>
            <w:r w:rsidR="00D33F4E">
              <w:t xml:space="preserve">. </w:t>
            </w:r>
            <w:r w:rsidR="003937F0" w:rsidRPr="00C5004D">
              <w:t xml:space="preserve"> </w:t>
            </w:r>
          </w:p>
        </w:tc>
        <w:tc>
          <w:tcPr>
            <w:tcW w:w="5956" w:type="dxa"/>
            <w:gridSpan w:val="2"/>
          </w:tcPr>
          <w:p w14:paraId="75EB84D7" w14:textId="22A3F4FF" w:rsidR="004757E7" w:rsidRDefault="009723B1" w:rsidP="00ED4B9C">
            <w:pPr>
              <w:pStyle w:val="pf0"/>
              <w:spacing w:line="360" w:lineRule="auto"/>
              <w:jc w:val="both"/>
            </w:pPr>
            <w:r w:rsidRPr="00F54A2D">
              <w:rPr>
                <w:b/>
              </w:rPr>
              <w:t>Įgyvendinta.</w:t>
            </w:r>
            <w:r>
              <w:t xml:space="preserve"> Vykdant naudotų gaisrinių automobilių pirkimus atsižvelgiama į pasiūlymų pateikimo terminus pasi</w:t>
            </w:r>
            <w:r w:rsidR="00C12734">
              <w:t>r</w:t>
            </w:r>
            <w:r>
              <w:t>enkant pirkimo būdą. Atlikus rinkos tyrimą yra nustatomi naudotų gaisrinių automobilių pristatymo terminai</w:t>
            </w:r>
            <w:r w:rsidR="00F54A2D">
              <w:t xml:space="preserve">, </w:t>
            </w:r>
            <w:r w:rsidR="00FD26D0">
              <w:t xml:space="preserve">kurie pirkimo dokumentuose nurodomi </w:t>
            </w:r>
            <w:r w:rsidR="00F54A2D">
              <w:t>nepažeidžiant viešųjų pirkimų principų.</w:t>
            </w:r>
          </w:p>
          <w:p w14:paraId="43D590AA" w14:textId="36937E64" w:rsidR="002935F6" w:rsidRPr="00801708" w:rsidRDefault="002935F6" w:rsidP="009D57A4">
            <w:pPr>
              <w:pStyle w:val="pf0"/>
              <w:rPr>
                <w:snapToGrid w:val="0"/>
              </w:rPr>
            </w:pPr>
          </w:p>
        </w:tc>
        <w:tc>
          <w:tcPr>
            <w:tcW w:w="1930" w:type="dxa"/>
          </w:tcPr>
          <w:p w14:paraId="731B9B6D" w14:textId="77777777" w:rsidR="00801708" w:rsidRPr="002B3452" w:rsidRDefault="00801708" w:rsidP="00801708">
            <w:pPr>
              <w:widowControl w:val="0"/>
              <w:rPr>
                <w:snapToGrid w:val="0"/>
              </w:rPr>
            </w:pPr>
          </w:p>
        </w:tc>
      </w:tr>
      <w:tr w:rsidR="00801708" w:rsidRPr="002B3452" w14:paraId="67BA58DE" w14:textId="77777777" w:rsidTr="00801708">
        <w:tc>
          <w:tcPr>
            <w:tcW w:w="3188" w:type="dxa"/>
          </w:tcPr>
          <w:p w14:paraId="11B6CB77" w14:textId="77777777" w:rsidR="00801708" w:rsidRDefault="0059712F" w:rsidP="0059712F">
            <w:pPr>
              <w:spacing w:line="360" w:lineRule="auto"/>
              <w:jc w:val="both"/>
            </w:pPr>
            <w:r>
              <w:rPr>
                <w:snapToGrid w:val="0"/>
              </w:rPr>
              <w:t xml:space="preserve">6. </w:t>
            </w:r>
            <w:r w:rsidRPr="00C5004D">
              <w:t xml:space="preserve">Nesinaudojama eksperto instituto viešuosiuose pirkimuose galimybėmis. Tai kelia neobjektyvių, nepagrįstų sprendimų rizikas (motyvai išdėstyti 3.5 skirsnyje). </w:t>
            </w:r>
          </w:p>
          <w:p w14:paraId="367BDEFF" w14:textId="1ACEA2E1" w:rsidR="00457617" w:rsidRPr="0059712F" w:rsidRDefault="00457617" w:rsidP="0059712F">
            <w:pPr>
              <w:spacing w:line="360" w:lineRule="auto"/>
              <w:jc w:val="both"/>
            </w:pPr>
          </w:p>
        </w:tc>
        <w:tc>
          <w:tcPr>
            <w:tcW w:w="3202" w:type="dxa"/>
            <w:gridSpan w:val="2"/>
          </w:tcPr>
          <w:p w14:paraId="4926AF5B" w14:textId="15C736DA" w:rsidR="00801708" w:rsidRPr="0059712F" w:rsidRDefault="0059712F" w:rsidP="0059712F">
            <w:pPr>
              <w:spacing w:line="360" w:lineRule="auto"/>
              <w:jc w:val="both"/>
            </w:pPr>
            <w:r>
              <w:t>6</w:t>
            </w:r>
            <w:r w:rsidRPr="00C5004D">
              <w:t>. Vykdant gaisrinių automobilių pirkimus, naudotis ekspertų pagalba Viešųjų pirkimų įstatymo nustatyta tvarka</w:t>
            </w:r>
            <w:r w:rsidR="00D33F4E">
              <w:t xml:space="preserve">. </w:t>
            </w:r>
            <w:r w:rsidRPr="00C5004D">
              <w:t xml:space="preserve"> </w:t>
            </w:r>
          </w:p>
        </w:tc>
        <w:tc>
          <w:tcPr>
            <w:tcW w:w="5956" w:type="dxa"/>
            <w:gridSpan w:val="2"/>
          </w:tcPr>
          <w:p w14:paraId="6C222447" w14:textId="5E63597D" w:rsidR="00ED4B9C" w:rsidRPr="00ED4B9C" w:rsidRDefault="00F54A2D" w:rsidP="003937F0">
            <w:pPr>
              <w:autoSpaceDE w:val="0"/>
              <w:autoSpaceDN w:val="0"/>
              <w:adjustRightInd w:val="0"/>
              <w:spacing w:line="360" w:lineRule="auto"/>
              <w:jc w:val="both"/>
              <w:rPr>
                <w:snapToGrid w:val="0"/>
                <w:color w:val="000000" w:themeColor="text1"/>
              </w:rPr>
            </w:pPr>
            <w:r w:rsidRPr="00314A57">
              <w:rPr>
                <w:b/>
                <w:snapToGrid w:val="0"/>
                <w:color w:val="000000" w:themeColor="text1"/>
              </w:rPr>
              <w:t>Įgyvendinta.</w:t>
            </w:r>
            <w:r>
              <w:rPr>
                <w:snapToGrid w:val="0"/>
                <w:color w:val="000000" w:themeColor="text1"/>
              </w:rPr>
              <w:t xml:space="preserve"> </w:t>
            </w:r>
            <w:r w:rsidR="00164CD8">
              <w:rPr>
                <w:snapToGrid w:val="0"/>
                <w:color w:val="000000" w:themeColor="text1"/>
              </w:rPr>
              <w:t>Pažymėtina, kad ekspertų pasitelkimas yra viešojo pirkimo komisijos teisė, bet ne pareiga</w:t>
            </w:r>
            <w:r w:rsidR="008E4B41">
              <w:rPr>
                <w:snapToGrid w:val="0"/>
                <w:color w:val="000000" w:themeColor="text1"/>
              </w:rPr>
              <w:t xml:space="preserve">. </w:t>
            </w:r>
            <w:r>
              <w:rPr>
                <w:snapToGrid w:val="0"/>
                <w:color w:val="000000" w:themeColor="text1"/>
              </w:rPr>
              <w:t xml:space="preserve">Vykdant gaisrinių automobilių pirkimus viešojo pirkimo komisijos nariai </w:t>
            </w:r>
            <w:r w:rsidR="002E6985">
              <w:rPr>
                <w:snapToGrid w:val="0"/>
                <w:color w:val="000000" w:themeColor="text1"/>
              </w:rPr>
              <w:t>aktyviai bendradarbiauja su Priešgaisrinės apsaugos</w:t>
            </w:r>
            <w:r w:rsidR="008E4B41">
              <w:rPr>
                <w:snapToGrid w:val="0"/>
                <w:color w:val="000000" w:themeColor="text1"/>
              </w:rPr>
              <w:t xml:space="preserve"> ir gelbėjimo</w:t>
            </w:r>
            <w:r w:rsidR="002E6985">
              <w:rPr>
                <w:snapToGrid w:val="0"/>
                <w:color w:val="000000" w:themeColor="text1"/>
              </w:rPr>
              <w:t xml:space="preserve"> departamento</w:t>
            </w:r>
            <w:r w:rsidR="008E4B41">
              <w:rPr>
                <w:snapToGrid w:val="0"/>
                <w:color w:val="000000" w:themeColor="text1"/>
              </w:rPr>
              <w:t xml:space="preserve"> prie Vidaus reikalų ministerijos</w:t>
            </w:r>
            <w:r w:rsidR="002E6985">
              <w:rPr>
                <w:snapToGrid w:val="0"/>
                <w:color w:val="000000" w:themeColor="text1"/>
              </w:rPr>
              <w:t xml:space="preserve"> darbuotais</w:t>
            </w:r>
            <w:r w:rsidR="007A6283">
              <w:rPr>
                <w:snapToGrid w:val="0"/>
                <w:color w:val="000000" w:themeColor="text1"/>
              </w:rPr>
              <w:t xml:space="preserve"> bei vadovaujasi jų teikiamomis rekomendacijomis vykdant gaisrinių automobilių pirkimus. </w:t>
            </w:r>
          </w:p>
        </w:tc>
        <w:tc>
          <w:tcPr>
            <w:tcW w:w="1930" w:type="dxa"/>
          </w:tcPr>
          <w:p w14:paraId="74D6990C" w14:textId="77777777" w:rsidR="00801708" w:rsidRPr="002B3452" w:rsidRDefault="00801708" w:rsidP="00801708">
            <w:pPr>
              <w:widowControl w:val="0"/>
              <w:rPr>
                <w:snapToGrid w:val="0"/>
              </w:rPr>
            </w:pPr>
          </w:p>
        </w:tc>
      </w:tr>
      <w:tr w:rsidR="0059712F" w:rsidRPr="002B3452" w14:paraId="72ACC38A" w14:textId="77777777" w:rsidTr="00801708">
        <w:tc>
          <w:tcPr>
            <w:tcW w:w="3188" w:type="dxa"/>
          </w:tcPr>
          <w:p w14:paraId="51D339E5" w14:textId="77777777" w:rsidR="0059712F" w:rsidRDefault="0059712F" w:rsidP="0059712F">
            <w:pPr>
              <w:spacing w:line="360" w:lineRule="auto"/>
              <w:jc w:val="both"/>
            </w:pPr>
            <w:r>
              <w:lastRenderedPageBreak/>
              <w:t>7</w:t>
            </w:r>
            <w:r w:rsidRPr="00C5004D">
              <w:t xml:space="preserve">. Tiekėjams galimai suteikiama neviešinama informacija dėl maksimalių pirkimo kainų. Tai kelia neteisėtų susitarimų rizikas (motyvai išdėstyti 3.6 skirsnyje). </w:t>
            </w:r>
          </w:p>
          <w:p w14:paraId="348FFF31" w14:textId="5226559E" w:rsidR="00457617" w:rsidRPr="0059712F" w:rsidRDefault="00457617" w:rsidP="0059712F">
            <w:pPr>
              <w:spacing w:line="360" w:lineRule="auto"/>
              <w:jc w:val="both"/>
            </w:pPr>
          </w:p>
        </w:tc>
        <w:tc>
          <w:tcPr>
            <w:tcW w:w="3202" w:type="dxa"/>
            <w:gridSpan w:val="2"/>
          </w:tcPr>
          <w:p w14:paraId="57846B69" w14:textId="26EC022A" w:rsidR="0059712F" w:rsidRPr="00C5004D" w:rsidRDefault="0059712F" w:rsidP="0059712F">
            <w:pPr>
              <w:spacing w:line="360" w:lineRule="auto"/>
              <w:jc w:val="both"/>
            </w:pPr>
            <w:r>
              <w:t>7</w:t>
            </w:r>
            <w:r w:rsidRPr="00C5004D">
              <w:t>. Imtis priemonių, kad pirkimų dalyviams nebūtų atskleidžiamos maksimalios pirkimui skirtų lėšų sumos, kai jos nėra nurodomos viešai</w:t>
            </w:r>
            <w:r w:rsidR="001213CF">
              <w:t>.</w:t>
            </w:r>
          </w:p>
          <w:p w14:paraId="133DBD44" w14:textId="77777777" w:rsidR="0059712F" w:rsidRDefault="0059712F" w:rsidP="0059712F">
            <w:pPr>
              <w:spacing w:line="360" w:lineRule="auto"/>
              <w:jc w:val="both"/>
            </w:pPr>
          </w:p>
        </w:tc>
        <w:tc>
          <w:tcPr>
            <w:tcW w:w="5956" w:type="dxa"/>
            <w:gridSpan w:val="2"/>
          </w:tcPr>
          <w:p w14:paraId="2BD5A4B6" w14:textId="5D92F707" w:rsidR="004453AB" w:rsidRPr="004453AB" w:rsidRDefault="004453AB" w:rsidP="003937F0">
            <w:pPr>
              <w:autoSpaceDE w:val="0"/>
              <w:autoSpaceDN w:val="0"/>
              <w:adjustRightInd w:val="0"/>
              <w:spacing w:line="360" w:lineRule="auto"/>
              <w:jc w:val="both"/>
              <w:rPr>
                <w:b/>
                <w:bCs/>
                <w:snapToGrid w:val="0"/>
                <w:color w:val="000000" w:themeColor="text1"/>
              </w:rPr>
            </w:pPr>
            <w:r>
              <w:rPr>
                <w:b/>
                <w:bCs/>
                <w:snapToGrid w:val="0"/>
                <w:color w:val="000000" w:themeColor="text1"/>
              </w:rPr>
              <w:t>Įgyvendinama.</w:t>
            </w:r>
          </w:p>
          <w:p w14:paraId="4292919A" w14:textId="3169063D" w:rsidR="0059712F" w:rsidRPr="00ED4B9C" w:rsidRDefault="005E4C48" w:rsidP="003937F0">
            <w:pPr>
              <w:autoSpaceDE w:val="0"/>
              <w:autoSpaceDN w:val="0"/>
              <w:adjustRightInd w:val="0"/>
              <w:spacing w:line="360" w:lineRule="auto"/>
              <w:jc w:val="both"/>
              <w:rPr>
                <w:snapToGrid w:val="0"/>
                <w:color w:val="000000" w:themeColor="text1"/>
              </w:rPr>
            </w:pPr>
            <w:r>
              <w:rPr>
                <w:snapToGrid w:val="0"/>
                <w:color w:val="000000" w:themeColor="text1"/>
              </w:rPr>
              <w:t>Ukmergės rajono savivaldybės administracija, vykdydama gaisrinių automobilių pirkimus, pirkimo dokumentuose visu</w:t>
            </w:r>
            <w:r w:rsidR="004453AB">
              <w:rPr>
                <w:snapToGrid w:val="0"/>
                <w:color w:val="000000" w:themeColor="text1"/>
              </w:rPr>
              <w:t xml:space="preserve">omet </w:t>
            </w:r>
            <w:r>
              <w:rPr>
                <w:snapToGrid w:val="0"/>
                <w:color w:val="000000" w:themeColor="text1"/>
              </w:rPr>
              <w:t xml:space="preserve"> nurodo maksimalią pirkimui skirtų lėšų sumą.</w:t>
            </w:r>
          </w:p>
        </w:tc>
        <w:tc>
          <w:tcPr>
            <w:tcW w:w="1930" w:type="dxa"/>
          </w:tcPr>
          <w:p w14:paraId="0BE887C2" w14:textId="77777777" w:rsidR="0059712F" w:rsidRPr="002B3452" w:rsidRDefault="0059712F" w:rsidP="00801708">
            <w:pPr>
              <w:widowControl w:val="0"/>
              <w:rPr>
                <w:snapToGrid w:val="0"/>
              </w:rPr>
            </w:pPr>
          </w:p>
        </w:tc>
      </w:tr>
      <w:tr w:rsidR="0059712F" w:rsidRPr="002B3452" w14:paraId="0F74949B" w14:textId="77777777" w:rsidTr="00801708">
        <w:tc>
          <w:tcPr>
            <w:tcW w:w="3188" w:type="dxa"/>
          </w:tcPr>
          <w:p w14:paraId="24FE9F67" w14:textId="0D53FA65" w:rsidR="0059712F" w:rsidRPr="00C5004D" w:rsidRDefault="0059712F" w:rsidP="0059712F">
            <w:pPr>
              <w:spacing w:line="360" w:lineRule="auto"/>
              <w:jc w:val="both"/>
            </w:pPr>
            <w:r>
              <w:t>8.</w:t>
            </w:r>
            <w:r w:rsidRPr="00C5004D">
              <w:t xml:space="preserve"> Nedeklaruojami privatūs interesai, kurie kelia (gali kelti) interesų konfliktus (motyvai išdėstyti 3.9 skirsnyje).</w:t>
            </w:r>
          </w:p>
        </w:tc>
        <w:tc>
          <w:tcPr>
            <w:tcW w:w="3202" w:type="dxa"/>
            <w:gridSpan w:val="2"/>
          </w:tcPr>
          <w:p w14:paraId="3442B046" w14:textId="338415D4" w:rsidR="0059712F" w:rsidRDefault="0059712F" w:rsidP="0059712F">
            <w:pPr>
              <w:spacing w:line="360" w:lineRule="auto"/>
              <w:jc w:val="both"/>
            </w:pPr>
            <w:r>
              <w:t>8</w:t>
            </w:r>
            <w:r w:rsidRPr="00C5004D">
              <w:t>. Įvertinti informaciją apie SPT vadovų viešųjų pirkimų pareigas, kitą informaciją bei patikrinti, ar deklaracijų turinys atitinka įstatyme numatytiems reikalavimams</w:t>
            </w:r>
            <w:r w:rsidR="001213CF">
              <w:t>.</w:t>
            </w:r>
          </w:p>
          <w:p w14:paraId="5735E884" w14:textId="279D21CC" w:rsidR="00457617" w:rsidRPr="00C5004D" w:rsidRDefault="00457617" w:rsidP="0059712F">
            <w:pPr>
              <w:spacing w:line="360" w:lineRule="auto"/>
              <w:jc w:val="both"/>
            </w:pPr>
          </w:p>
        </w:tc>
        <w:tc>
          <w:tcPr>
            <w:tcW w:w="5956" w:type="dxa"/>
            <w:gridSpan w:val="2"/>
          </w:tcPr>
          <w:p w14:paraId="625B5E46" w14:textId="22C5BF32" w:rsidR="001213CF" w:rsidRDefault="001213CF" w:rsidP="001213CF">
            <w:pPr>
              <w:autoSpaceDE w:val="0"/>
              <w:autoSpaceDN w:val="0"/>
              <w:adjustRightInd w:val="0"/>
              <w:spacing w:line="360" w:lineRule="auto"/>
              <w:jc w:val="both"/>
            </w:pPr>
            <w:r>
              <w:rPr>
                <w:b/>
                <w:bCs/>
              </w:rPr>
              <w:t xml:space="preserve">Įgyvendinama. </w:t>
            </w:r>
            <w:r>
              <w:t>Ukmergės rajono savivaldybės mero 2025 m. lapkričio 25 d. potvarkiu Nr. 9-606 „D</w:t>
            </w:r>
            <w:r w:rsidRPr="001213CF">
              <w:rPr>
                <w:snapToGrid w:val="0"/>
                <w:color w:val="000000" w:themeColor="text1"/>
              </w:rPr>
              <w:t>ėl pareigų, kurias einantys asmenys privalo deklaruoti privačius interesus, sąrašo patvirtinimo</w:t>
            </w:r>
            <w:r>
              <w:rPr>
                <w:snapToGrid w:val="0"/>
                <w:color w:val="000000" w:themeColor="text1"/>
              </w:rPr>
              <w:t>“ p</w:t>
            </w:r>
            <w:r>
              <w:t>askirtas Ukmergės rajono savivaldybės administracijos darbuotojas, kuriam pavesta kontroliuoti pagal kompetenciją, kaip laikomasi Lietuvos Respublikos viešųjų ir privačių interesų derinimo įstatymo reikalavimų, teikti rekomendacijas, konsultuoti, siekiant užtikrinti efektyvią viešųjų ir privačių interesų konfliktų prevenciją.</w:t>
            </w:r>
          </w:p>
          <w:p w14:paraId="4A260657" w14:textId="2A03BD7B" w:rsidR="0059712F" w:rsidRPr="00ED4B9C" w:rsidRDefault="0059712F" w:rsidP="003937F0">
            <w:pPr>
              <w:autoSpaceDE w:val="0"/>
              <w:autoSpaceDN w:val="0"/>
              <w:adjustRightInd w:val="0"/>
              <w:spacing w:line="360" w:lineRule="auto"/>
              <w:jc w:val="both"/>
              <w:rPr>
                <w:snapToGrid w:val="0"/>
                <w:color w:val="000000" w:themeColor="text1"/>
              </w:rPr>
            </w:pPr>
          </w:p>
        </w:tc>
        <w:tc>
          <w:tcPr>
            <w:tcW w:w="1930" w:type="dxa"/>
          </w:tcPr>
          <w:p w14:paraId="2FCE1125" w14:textId="77777777" w:rsidR="0059712F" w:rsidRPr="002B3452" w:rsidRDefault="0059712F" w:rsidP="00801708">
            <w:pPr>
              <w:widowControl w:val="0"/>
              <w:rPr>
                <w:snapToGrid w:val="0"/>
              </w:rPr>
            </w:pPr>
          </w:p>
        </w:tc>
      </w:tr>
      <w:tr w:rsidR="00801708" w:rsidRPr="002B3452" w14:paraId="3D91B208" w14:textId="77777777" w:rsidTr="00801708">
        <w:tc>
          <w:tcPr>
            <w:tcW w:w="14276" w:type="dxa"/>
            <w:gridSpan w:val="6"/>
          </w:tcPr>
          <w:p w14:paraId="35B360B4" w14:textId="26BD5374" w:rsidR="00801708" w:rsidRPr="000D4B5C" w:rsidRDefault="000D4B5C" w:rsidP="000D4B5C">
            <w:pPr>
              <w:widowControl w:val="0"/>
              <w:ind w:left="360"/>
              <w:jc w:val="center"/>
              <w:rPr>
                <w:i/>
                <w:snapToGrid w:val="0"/>
              </w:rPr>
            </w:pPr>
            <w:r>
              <w:rPr>
                <w:i/>
                <w:snapToGrid w:val="0"/>
              </w:rPr>
              <w:t xml:space="preserve">3. </w:t>
            </w:r>
            <w:r w:rsidR="00801708" w:rsidRPr="000D4B5C">
              <w:rPr>
                <w:i/>
                <w:snapToGrid w:val="0"/>
              </w:rPr>
              <w:t>Kitos pastabos</w:t>
            </w:r>
          </w:p>
        </w:tc>
      </w:tr>
      <w:tr w:rsidR="00801708" w:rsidRPr="002B3452" w14:paraId="23940820" w14:textId="77777777" w:rsidTr="00801708">
        <w:tc>
          <w:tcPr>
            <w:tcW w:w="3188" w:type="dxa"/>
          </w:tcPr>
          <w:p w14:paraId="1967B22D" w14:textId="23F43D05" w:rsidR="00801708" w:rsidRPr="002B3452" w:rsidRDefault="00E11284" w:rsidP="00801708">
            <w:pPr>
              <w:widowControl w:val="0"/>
              <w:rPr>
                <w:snapToGrid w:val="0"/>
              </w:rPr>
            </w:pPr>
            <w:r>
              <w:rPr>
                <w:snapToGrid w:val="0"/>
              </w:rPr>
              <w:t>-</w:t>
            </w:r>
          </w:p>
        </w:tc>
        <w:tc>
          <w:tcPr>
            <w:tcW w:w="3202" w:type="dxa"/>
            <w:gridSpan w:val="2"/>
          </w:tcPr>
          <w:p w14:paraId="3A2B36F3" w14:textId="6BD5A73B" w:rsidR="00801708" w:rsidRPr="002B3452" w:rsidRDefault="00E11284" w:rsidP="00801708">
            <w:pPr>
              <w:widowControl w:val="0"/>
              <w:rPr>
                <w:snapToGrid w:val="0"/>
              </w:rPr>
            </w:pPr>
            <w:r>
              <w:rPr>
                <w:snapToGrid w:val="0"/>
              </w:rPr>
              <w:t>-</w:t>
            </w:r>
          </w:p>
        </w:tc>
        <w:tc>
          <w:tcPr>
            <w:tcW w:w="5956" w:type="dxa"/>
            <w:gridSpan w:val="2"/>
          </w:tcPr>
          <w:p w14:paraId="26E7D083" w14:textId="7E7D6808" w:rsidR="00801708" w:rsidRPr="002B3452" w:rsidRDefault="00E11284" w:rsidP="00801708">
            <w:pPr>
              <w:widowControl w:val="0"/>
              <w:rPr>
                <w:snapToGrid w:val="0"/>
              </w:rPr>
            </w:pPr>
            <w:r>
              <w:rPr>
                <w:snapToGrid w:val="0"/>
              </w:rPr>
              <w:t>-</w:t>
            </w:r>
          </w:p>
        </w:tc>
        <w:tc>
          <w:tcPr>
            <w:tcW w:w="1930" w:type="dxa"/>
          </w:tcPr>
          <w:p w14:paraId="2636E8F7" w14:textId="2C0D06CD" w:rsidR="00801708" w:rsidRPr="002B3452" w:rsidRDefault="00E11284" w:rsidP="00801708">
            <w:pPr>
              <w:widowControl w:val="0"/>
              <w:rPr>
                <w:snapToGrid w:val="0"/>
              </w:rPr>
            </w:pPr>
            <w:r>
              <w:rPr>
                <w:snapToGrid w:val="0"/>
              </w:rPr>
              <w:t>-</w:t>
            </w:r>
          </w:p>
        </w:tc>
      </w:tr>
    </w:tbl>
    <w:p w14:paraId="4B5C8188" w14:textId="77777777" w:rsidR="0034418E" w:rsidRDefault="0034418E" w:rsidP="00801708">
      <w:pPr>
        <w:spacing w:line="360" w:lineRule="auto"/>
        <w:rPr>
          <w:lang w:eastAsia="en-US"/>
        </w:rPr>
      </w:pPr>
    </w:p>
    <w:p w14:paraId="711CD6BD" w14:textId="1AA67C1D" w:rsidR="000C5806" w:rsidRDefault="0034418E" w:rsidP="0034418E">
      <w:pPr>
        <w:jc w:val="center"/>
      </w:pPr>
      <w:r>
        <w:t>____________</w:t>
      </w:r>
    </w:p>
    <w:sectPr w:rsidR="000C5806" w:rsidSect="0037500E">
      <w:footnotePr>
        <w:numFmt w:val="chicago"/>
      </w:footnotePr>
      <w:pgSz w:w="16838" w:h="11906" w:orient="landscape"/>
      <w:pgMar w:top="1701" w:right="141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7899D" w14:textId="77777777" w:rsidR="00CD2838" w:rsidRDefault="00CD2838" w:rsidP="00694944">
      <w:r>
        <w:separator/>
      </w:r>
    </w:p>
  </w:endnote>
  <w:endnote w:type="continuationSeparator" w:id="0">
    <w:p w14:paraId="61FDFA70" w14:textId="77777777" w:rsidR="00CD2838" w:rsidRDefault="00CD2838" w:rsidP="00694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24C06" w14:textId="77777777" w:rsidR="00CD2838" w:rsidRDefault="00CD2838" w:rsidP="00694944">
      <w:r>
        <w:separator/>
      </w:r>
    </w:p>
  </w:footnote>
  <w:footnote w:type="continuationSeparator" w:id="0">
    <w:p w14:paraId="629FC15E" w14:textId="77777777" w:rsidR="00CD2838" w:rsidRDefault="00CD2838" w:rsidP="00694944">
      <w:r>
        <w:continuationSeparator/>
      </w:r>
    </w:p>
  </w:footnote>
  <w:footnote w:id="1">
    <w:p w14:paraId="711CD6C2" w14:textId="5F9E33A8" w:rsidR="00694944" w:rsidRPr="0013385B" w:rsidRDefault="00694944" w:rsidP="00694944">
      <w:pPr>
        <w:pStyle w:val="Puslapioinaostekstas"/>
        <w:jc w:val="both"/>
        <w:rPr>
          <w:rFonts w:ascii="Times New Roman" w:hAnsi="Times New Roman"/>
        </w:rPr>
      </w:pPr>
      <w:r w:rsidRPr="00770A2D">
        <w:rPr>
          <w:rStyle w:val="Puslapioinaosnuoroda"/>
          <w:rFonts w:ascii="Times New Roman" w:hAnsi="Times New Roman"/>
        </w:rPr>
        <w:footnoteRef/>
      </w:r>
      <w:r w:rsidRPr="00770A2D">
        <w:rPr>
          <w:rFonts w:ascii="Times New Roman" w:hAnsi="Times New Roman"/>
          <w:bCs/>
        </w:rPr>
        <w:t xml:space="preserve"> Informaciją apie išvadoje dėl koru</w:t>
      </w:r>
      <w:r w:rsidR="007C4C52">
        <w:rPr>
          <w:rFonts w:ascii="Times New Roman" w:hAnsi="Times New Roman"/>
          <w:bCs/>
        </w:rPr>
        <w:t>pcijos rizikos analizės pateiktų rekomendacinio pobūdžio</w:t>
      </w:r>
      <w:r w:rsidRPr="00770A2D">
        <w:rPr>
          <w:rFonts w:ascii="Times New Roman" w:hAnsi="Times New Roman"/>
          <w:bCs/>
        </w:rPr>
        <w:t xml:space="preserve"> pasiūly</w:t>
      </w:r>
      <w:r w:rsidRPr="000D690B">
        <w:rPr>
          <w:rFonts w:ascii="Times New Roman" w:hAnsi="Times New Roman"/>
          <w:bCs/>
        </w:rPr>
        <w:t xml:space="preserve">mų </w:t>
      </w:r>
      <w:r w:rsidR="007C4C52">
        <w:rPr>
          <w:rFonts w:ascii="Times New Roman" w:hAnsi="Times New Roman"/>
          <w:bCs/>
        </w:rPr>
        <w:t xml:space="preserve">įgyvendinimą </w:t>
      </w:r>
      <w:r w:rsidRPr="000D690B">
        <w:rPr>
          <w:rFonts w:ascii="Times New Roman" w:hAnsi="Times New Roman"/>
          <w:bCs/>
        </w:rPr>
        <w:t xml:space="preserve">ar numatomą įgyvendinimą </w:t>
      </w:r>
      <w:r w:rsidR="00CD4FAD" w:rsidRPr="00CD4FAD">
        <w:rPr>
          <w:rFonts w:ascii="Times New Roman" w:hAnsi="Times New Roman"/>
          <w:bCs/>
        </w:rPr>
        <w:t>ne vėliau kaip per 3 mėnesius nuo išvados dėl korupcijos</w:t>
      </w:r>
      <w:r w:rsidR="00CD4FAD">
        <w:rPr>
          <w:rFonts w:ascii="Times New Roman" w:hAnsi="Times New Roman"/>
          <w:bCs/>
        </w:rPr>
        <w:t xml:space="preserve"> rizikos analizės gavimo dienos </w:t>
      </w:r>
      <w:r w:rsidRPr="00CD4FAD">
        <w:rPr>
          <w:rFonts w:ascii="Times New Roman" w:hAnsi="Times New Roman"/>
          <w:bCs/>
        </w:rPr>
        <w:t>prašome</w:t>
      </w:r>
      <w:r w:rsidR="00CD4FAD" w:rsidRPr="00CD4FAD">
        <w:rPr>
          <w:rFonts w:ascii="Times New Roman" w:hAnsi="Times New Roman"/>
        </w:rPr>
        <w:t xml:space="preserve"> paskelbti </w:t>
      </w:r>
      <w:r w:rsidR="00CD4FAD" w:rsidRPr="00CD4FAD">
        <w:rPr>
          <w:rFonts w:ascii="Times New Roman" w:hAnsi="Times New Roman"/>
          <w:bCs/>
        </w:rPr>
        <w:t>savo interneto svetainėse ir pateikti STT nuorodą į informaciją</w:t>
      </w:r>
      <w:r w:rsidRPr="000D690B">
        <w:rPr>
          <w:rFonts w:ascii="Times New Roman" w:hAnsi="Times New Roman"/>
          <w:bC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1C6"/>
    <w:multiLevelType w:val="hybridMultilevel"/>
    <w:tmpl w:val="11C2AE2E"/>
    <w:lvl w:ilvl="0" w:tplc="9154B8F0">
      <w:start w:val="1"/>
      <w:numFmt w:val="decimal"/>
      <w:lvlText w:val="%1."/>
      <w:lvlJc w:val="left"/>
      <w:pPr>
        <w:ind w:left="1069"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F0E1A94"/>
    <w:multiLevelType w:val="hybridMultilevel"/>
    <w:tmpl w:val="2280D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344BA9"/>
    <w:multiLevelType w:val="multilevel"/>
    <w:tmpl w:val="BE1CD9B2"/>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2."/>
      <w:lvlJc w:val="left"/>
      <w:pPr>
        <w:ind w:left="1211" w:hanging="360"/>
      </w:pPr>
      <w:rPr>
        <w:rFonts w:ascii="Times New Roman" w:hAnsi="Times New Roman" w:cs="Times New Roman" w:hint="default"/>
        <w:sz w:val="24"/>
        <w:szCs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09974D5"/>
    <w:multiLevelType w:val="hybridMultilevel"/>
    <w:tmpl w:val="534CE81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F15AC1"/>
    <w:multiLevelType w:val="hybridMultilevel"/>
    <w:tmpl w:val="2280D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7CC181E"/>
    <w:multiLevelType w:val="hybridMultilevel"/>
    <w:tmpl w:val="52804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1602598">
    <w:abstractNumId w:val="4"/>
  </w:num>
  <w:num w:numId="2" w16cid:durableId="1473446247">
    <w:abstractNumId w:val="2"/>
  </w:num>
  <w:num w:numId="3" w16cid:durableId="1643996557">
    <w:abstractNumId w:val="0"/>
  </w:num>
  <w:num w:numId="4" w16cid:durableId="1239562304">
    <w:abstractNumId w:val="5"/>
  </w:num>
  <w:num w:numId="5" w16cid:durableId="1988824726">
    <w:abstractNumId w:val="3"/>
  </w:num>
  <w:num w:numId="6" w16cid:durableId="527723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944"/>
    <w:rsid w:val="00014C02"/>
    <w:rsid w:val="00016FB6"/>
    <w:rsid w:val="00040139"/>
    <w:rsid w:val="000C5806"/>
    <w:rsid w:val="000D4B5C"/>
    <w:rsid w:val="000D63E8"/>
    <w:rsid w:val="00105B9E"/>
    <w:rsid w:val="00107B5B"/>
    <w:rsid w:val="001213CF"/>
    <w:rsid w:val="00164CD8"/>
    <w:rsid w:val="001820B6"/>
    <w:rsid w:val="00183595"/>
    <w:rsid w:val="001D617C"/>
    <w:rsid w:val="001D6922"/>
    <w:rsid w:val="00205E41"/>
    <w:rsid w:val="00222096"/>
    <w:rsid w:val="00223DCE"/>
    <w:rsid w:val="00235992"/>
    <w:rsid w:val="00247446"/>
    <w:rsid w:val="00270840"/>
    <w:rsid w:val="00280785"/>
    <w:rsid w:val="0028098F"/>
    <w:rsid w:val="002935F6"/>
    <w:rsid w:val="002A527F"/>
    <w:rsid w:val="002A6049"/>
    <w:rsid w:val="002C4978"/>
    <w:rsid w:val="002D46E4"/>
    <w:rsid w:val="002E6985"/>
    <w:rsid w:val="00314A57"/>
    <w:rsid w:val="0034418E"/>
    <w:rsid w:val="0037500E"/>
    <w:rsid w:val="003826DC"/>
    <w:rsid w:val="00383F51"/>
    <w:rsid w:val="003937F0"/>
    <w:rsid w:val="003A4BFD"/>
    <w:rsid w:val="003C03D9"/>
    <w:rsid w:val="003D245C"/>
    <w:rsid w:val="003E50E6"/>
    <w:rsid w:val="003E7DC1"/>
    <w:rsid w:val="00405C3D"/>
    <w:rsid w:val="0043060B"/>
    <w:rsid w:val="004327F8"/>
    <w:rsid w:val="00442AB7"/>
    <w:rsid w:val="004453AB"/>
    <w:rsid w:val="0045525F"/>
    <w:rsid w:val="00457617"/>
    <w:rsid w:val="004757E7"/>
    <w:rsid w:val="004818D2"/>
    <w:rsid w:val="0048250E"/>
    <w:rsid w:val="004A774D"/>
    <w:rsid w:val="004C7674"/>
    <w:rsid w:val="004D2107"/>
    <w:rsid w:val="004E31E9"/>
    <w:rsid w:val="004E6093"/>
    <w:rsid w:val="004F032E"/>
    <w:rsid w:val="0054636E"/>
    <w:rsid w:val="00551097"/>
    <w:rsid w:val="00573B44"/>
    <w:rsid w:val="00574E21"/>
    <w:rsid w:val="00576425"/>
    <w:rsid w:val="00593FD3"/>
    <w:rsid w:val="0059712F"/>
    <w:rsid w:val="005A7A4E"/>
    <w:rsid w:val="005D4659"/>
    <w:rsid w:val="005D4724"/>
    <w:rsid w:val="005E1894"/>
    <w:rsid w:val="005E4C48"/>
    <w:rsid w:val="005F1302"/>
    <w:rsid w:val="0062138F"/>
    <w:rsid w:val="00625300"/>
    <w:rsid w:val="00672F69"/>
    <w:rsid w:val="00694944"/>
    <w:rsid w:val="006B29A2"/>
    <w:rsid w:val="006C3578"/>
    <w:rsid w:val="00710319"/>
    <w:rsid w:val="00744F8D"/>
    <w:rsid w:val="0075065E"/>
    <w:rsid w:val="007615FC"/>
    <w:rsid w:val="00761F5E"/>
    <w:rsid w:val="00762994"/>
    <w:rsid w:val="00762AD3"/>
    <w:rsid w:val="007A6283"/>
    <w:rsid w:val="007C4C52"/>
    <w:rsid w:val="00801708"/>
    <w:rsid w:val="008575B1"/>
    <w:rsid w:val="00863CC6"/>
    <w:rsid w:val="00881935"/>
    <w:rsid w:val="008A43AE"/>
    <w:rsid w:val="008C424E"/>
    <w:rsid w:val="008D6A2C"/>
    <w:rsid w:val="008E4B41"/>
    <w:rsid w:val="008F6DF3"/>
    <w:rsid w:val="0093651D"/>
    <w:rsid w:val="009374B9"/>
    <w:rsid w:val="009723B1"/>
    <w:rsid w:val="009927B2"/>
    <w:rsid w:val="009B160F"/>
    <w:rsid w:val="009C332A"/>
    <w:rsid w:val="009C3DB3"/>
    <w:rsid w:val="009D1041"/>
    <w:rsid w:val="009D3C12"/>
    <w:rsid w:val="009D57A4"/>
    <w:rsid w:val="00A01544"/>
    <w:rsid w:val="00A201C9"/>
    <w:rsid w:val="00A33487"/>
    <w:rsid w:val="00A63967"/>
    <w:rsid w:val="00A72329"/>
    <w:rsid w:val="00A82990"/>
    <w:rsid w:val="00AA333E"/>
    <w:rsid w:val="00AB6AA7"/>
    <w:rsid w:val="00AE2AC2"/>
    <w:rsid w:val="00AF0532"/>
    <w:rsid w:val="00B1466F"/>
    <w:rsid w:val="00B2318E"/>
    <w:rsid w:val="00B24082"/>
    <w:rsid w:val="00B332E0"/>
    <w:rsid w:val="00B50B6A"/>
    <w:rsid w:val="00B844B4"/>
    <w:rsid w:val="00B85DA1"/>
    <w:rsid w:val="00B8748D"/>
    <w:rsid w:val="00BB32CD"/>
    <w:rsid w:val="00BC7683"/>
    <w:rsid w:val="00C11F43"/>
    <w:rsid w:val="00C12734"/>
    <w:rsid w:val="00C274D5"/>
    <w:rsid w:val="00C5004D"/>
    <w:rsid w:val="00C53629"/>
    <w:rsid w:val="00CC468A"/>
    <w:rsid w:val="00CC730B"/>
    <w:rsid w:val="00CC7EAE"/>
    <w:rsid w:val="00CD2838"/>
    <w:rsid w:val="00CD4FAD"/>
    <w:rsid w:val="00CE094D"/>
    <w:rsid w:val="00CF639F"/>
    <w:rsid w:val="00CF6E85"/>
    <w:rsid w:val="00D07F3C"/>
    <w:rsid w:val="00D33F4E"/>
    <w:rsid w:val="00D82CD3"/>
    <w:rsid w:val="00E11284"/>
    <w:rsid w:val="00E20495"/>
    <w:rsid w:val="00E64BF7"/>
    <w:rsid w:val="00EA5AB7"/>
    <w:rsid w:val="00EC4424"/>
    <w:rsid w:val="00ED4B9C"/>
    <w:rsid w:val="00EF068B"/>
    <w:rsid w:val="00EF75ED"/>
    <w:rsid w:val="00EF7971"/>
    <w:rsid w:val="00F05F71"/>
    <w:rsid w:val="00F07BE3"/>
    <w:rsid w:val="00F10EDE"/>
    <w:rsid w:val="00F35E90"/>
    <w:rsid w:val="00F37B3B"/>
    <w:rsid w:val="00F4677D"/>
    <w:rsid w:val="00F54A2D"/>
    <w:rsid w:val="00F8376A"/>
    <w:rsid w:val="00FC05C3"/>
    <w:rsid w:val="00FD2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6A9"/>
  <w15:chartTrackingRefBased/>
  <w15:docId w15:val="{419D9C8E-D160-40DC-A3B3-60572AE7C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4944"/>
    <w:pPr>
      <w:spacing w:line="240" w:lineRule="auto"/>
      <w:ind w:firstLine="0"/>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694944"/>
    <w:rPr>
      <w:rFonts w:ascii="Arial" w:eastAsia="Calibri" w:hAnsi="Arial"/>
      <w:sz w:val="20"/>
      <w:szCs w:val="20"/>
    </w:rPr>
  </w:style>
  <w:style w:type="character" w:customStyle="1" w:styleId="PuslapioinaostekstasDiagrama">
    <w:name w:val="Puslapio išnašos tekstas Diagrama"/>
    <w:basedOn w:val="Numatytasispastraiposriftas"/>
    <w:link w:val="Puslapioinaostekstas"/>
    <w:uiPriority w:val="99"/>
    <w:rsid w:val="00694944"/>
    <w:rPr>
      <w:rFonts w:ascii="Arial" w:eastAsia="Calibri" w:hAnsi="Arial" w:cs="Times New Roman"/>
      <w:sz w:val="20"/>
      <w:szCs w:val="20"/>
      <w:lang w:eastAsia="lt-LT"/>
    </w:rPr>
  </w:style>
  <w:style w:type="character" w:styleId="Puslapioinaosnuoroda">
    <w:name w:val="footnote reference"/>
    <w:uiPriority w:val="99"/>
    <w:rsid w:val="00694944"/>
    <w:rPr>
      <w:rFonts w:cs="Times New Roman"/>
      <w:vertAlign w:val="superscript"/>
    </w:rPr>
  </w:style>
  <w:style w:type="table" w:styleId="Lentelstinklelis">
    <w:name w:val="Table Grid"/>
    <w:basedOn w:val="prastojilentel"/>
    <w:rsid w:val="0037500E"/>
    <w:pPr>
      <w:spacing w:line="240" w:lineRule="auto"/>
      <w:ind w:firstLine="0"/>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qFormat/>
    <w:rsid w:val="0037500E"/>
    <w:pPr>
      <w:ind w:left="720"/>
      <w:contextualSpacing/>
    </w:pPr>
    <w:rPr>
      <w:szCs w:val="20"/>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rsid w:val="009D3C12"/>
    <w:rPr>
      <w:rFonts w:ascii="Times New Roman" w:eastAsia="Times New Roman" w:hAnsi="Times New Roman" w:cs="Times New Roman"/>
      <w:sz w:val="24"/>
      <w:szCs w:val="20"/>
    </w:rPr>
  </w:style>
  <w:style w:type="character" w:styleId="Grietas">
    <w:name w:val="Strong"/>
    <w:basedOn w:val="Numatytasispastraiposriftas"/>
    <w:uiPriority w:val="22"/>
    <w:qFormat/>
    <w:rsid w:val="009D3C12"/>
    <w:rPr>
      <w:b/>
      <w:bCs/>
    </w:rPr>
  </w:style>
  <w:style w:type="character" w:customStyle="1" w:styleId="cf01">
    <w:name w:val="cf01"/>
    <w:basedOn w:val="Numatytasispastraiposriftas"/>
    <w:rsid w:val="007615FC"/>
    <w:rPr>
      <w:rFonts w:ascii="Segoe UI" w:hAnsi="Segoe UI" w:cs="Segoe UI" w:hint="default"/>
      <w:sz w:val="18"/>
      <w:szCs w:val="18"/>
    </w:rPr>
  </w:style>
  <w:style w:type="paragraph" w:customStyle="1" w:styleId="pf0">
    <w:name w:val="pf0"/>
    <w:basedOn w:val="prastasis"/>
    <w:rsid w:val="00CC730B"/>
    <w:pPr>
      <w:spacing w:before="100" w:beforeAutospacing="1" w:after="100" w:afterAutospacing="1"/>
    </w:pPr>
  </w:style>
  <w:style w:type="paragraph" w:styleId="Betarp">
    <w:name w:val="No Spacing"/>
    <w:uiPriority w:val="1"/>
    <w:qFormat/>
    <w:rsid w:val="00A201C9"/>
    <w:pPr>
      <w:spacing w:line="240" w:lineRule="auto"/>
      <w:ind w:firstLine="0"/>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762994"/>
    <w:rPr>
      <w:color w:val="0563C1" w:themeColor="hyperlink"/>
      <w:u w:val="single"/>
    </w:rPr>
  </w:style>
  <w:style w:type="character" w:styleId="Neapdorotaspaminjimas">
    <w:name w:val="Unresolved Mention"/>
    <w:basedOn w:val="Numatytasispastraiposriftas"/>
    <w:uiPriority w:val="99"/>
    <w:semiHidden/>
    <w:unhideWhenUsed/>
    <w:rsid w:val="00762994"/>
    <w:rPr>
      <w:color w:val="605E5C"/>
      <w:shd w:val="clear" w:color="auto" w:fill="E1DFDD"/>
    </w:rPr>
  </w:style>
  <w:style w:type="paragraph" w:customStyle="1" w:styleId="Default">
    <w:name w:val="Default"/>
    <w:rsid w:val="004A774D"/>
    <w:pPr>
      <w:autoSpaceDE w:val="0"/>
      <w:autoSpaceDN w:val="0"/>
      <w:adjustRightInd w:val="0"/>
      <w:spacing w:line="240" w:lineRule="auto"/>
      <w:ind w:firstLine="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74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Pages>
  <Words>4428</Words>
  <Characters>2525</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Poškuvienė</dc:creator>
  <cp:keywords/>
  <dc:description/>
  <cp:lastModifiedBy>Vilija Markauskienė</cp:lastModifiedBy>
  <cp:revision>16</cp:revision>
  <dcterms:created xsi:type="dcterms:W3CDTF">2026-01-29T06:25:00Z</dcterms:created>
  <dcterms:modified xsi:type="dcterms:W3CDTF">2026-02-02T11:11:00Z</dcterms:modified>
</cp:coreProperties>
</file>