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563" w:rsidRPr="004D78E3" w:rsidRDefault="004D78E3" w:rsidP="000A1563">
      <w:pPr>
        <w:jc w:val="center"/>
        <w:rPr>
          <w:b/>
        </w:rPr>
      </w:pPr>
      <w:r>
        <w:rPr>
          <w:noProof/>
          <w:sz w:val="28"/>
          <w:lang w:eastAsia="lt-LT"/>
        </w:rPr>
        <w:tab/>
      </w:r>
      <w:r>
        <w:rPr>
          <w:noProof/>
          <w:sz w:val="28"/>
          <w:lang w:eastAsia="lt-LT"/>
        </w:rPr>
        <w:tab/>
      </w:r>
      <w:r>
        <w:rPr>
          <w:noProof/>
          <w:sz w:val="28"/>
          <w:lang w:eastAsia="lt-LT"/>
        </w:rPr>
        <w:tab/>
      </w:r>
      <w:r w:rsidRPr="004D78E3">
        <w:rPr>
          <w:b/>
          <w:noProof/>
          <w:lang w:eastAsia="lt-LT"/>
        </w:rPr>
        <w:t>PROJEKTAS</w:t>
      </w:r>
    </w:p>
    <w:p w:rsidR="000A1563" w:rsidRDefault="000A1563" w:rsidP="000A156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0A1563" w:rsidRPr="006F0E8E" w:rsidTr="000C41DA">
        <w:tc>
          <w:tcPr>
            <w:tcW w:w="9854" w:type="dxa"/>
            <w:tcBorders>
              <w:top w:val="nil"/>
              <w:left w:val="nil"/>
              <w:bottom w:val="nil"/>
              <w:right w:val="nil"/>
            </w:tcBorders>
            <w:shd w:val="clear" w:color="auto" w:fill="auto"/>
          </w:tcPr>
          <w:p w:rsidR="000A1563" w:rsidRPr="006F0E8E" w:rsidRDefault="000A1563" w:rsidP="000C41DA">
            <w:pPr>
              <w:pStyle w:val="Antrat1"/>
              <w:rPr>
                <w:color w:val="000000" w:themeColor="text1"/>
              </w:rPr>
            </w:pPr>
            <w:r w:rsidRPr="006F0E8E">
              <w:rPr>
                <w:color w:val="000000" w:themeColor="text1"/>
              </w:rPr>
              <w:t xml:space="preserve">UKMERGĖS RAJONO SAVIVALDYBĖS ADMINISTRACIJOS </w:t>
            </w:r>
          </w:p>
          <w:p w:rsidR="000A1563" w:rsidRPr="006F0E8E" w:rsidRDefault="000A1563" w:rsidP="000C41DA">
            <w:pPr>
              <w:pStyle w:val="Antrat1"/>
              <w:rPr>
                <w:color w:val="000000" w:themeColor="text1"/>
              </w:rPr>
            </w:pPr>
            <w:r w:rsidRPr="006F0E8E">
              <w:rPr>
                <w:color w:val="000000" w:themeColor="text1"/>
              </w:rPr>
              <w:t>DIREKTORIUS</w:t>
            </w:r>
          </w:p>
        </w:tc>
      </w:tr>
      <w:tr w:rsidR="000A1563" w:rsidRPr="006F0E8E" w:rsidTr="000C41DA">
        <w:tc>
          <w:tcPr>
            <w:tcW w:w="9854" w:type="dxa"/>
            <w:tcBorders>
              <w:top w:val="nil"/>
              <w:left w:val="nil"/>
              <w:bottom w:val="nil"/>
              <w:right w:val="nil"/>
            </w:tcBorders>
            <w:shd w:val="clear" w:color="auto" w:fill="auto"/>
          </w:tcPr>
          <w:p w:rsidR="000A1563" w:rsidRPr="006F0E8E" w:rsidRDefault="000A1563" w:rsidP="000C41DA">
            <w:pPr>
              <w:jc w:val="center"/>
              <w:rPr>
                <w:b/>
                <w:color w:val="000000" w:themeColor="text1"/>
              </w:rPr>
            </w:pPr>
          </w:p>
        </w:tc>
      </w:tr>
      <w:tr w:rsidR="000A1563" w:rsidRPr="006F0E8E" w:rsidTr="000C41DA">
        <w:tc>
          <w:tcPr>
            <w:tcW w:w="9854" w:type="dxa"/>
            <w:tcBorders>
              <w:top w:val="nil"/>
              <w:left w:val="nil"/>
              <w:bottom w:val="nil"/>
              <w:right w:val="nil"/>
            </w:tcBorders>
            <w:shd w:val="clear" w:color="auto" w:fill="auto"/>
          </w:tcPr>
          <w:p w:rsidR="00DF59C9" w:rsidRPr="006F0E8E" w:rsidRDefault="00DF59C9" w:rsidP="00DF59C9">
            <w:pPr>
              <w:jc w:val="center"/>
              <w:rPr>
                <w:b/>
                <w:color w:val="000000" w:themeColor="text1"/>
              </w:rPr>
            </w:pPr>
            <w:r>
              <w:rPr>
                <w:b/>
                <w:color w:val="000000" w:themeColor="text1"/>
              </w:rPr>
              <w:t>ĮSAKYMAS</w:t>
            </w:r>
          </w:p>
        </w:tc>
      </w:tr>
      <w:tr w:rsidR="000A1563" w:rsidRPr="006F0E8E" w:rsidTr="000C41DA">
        <w:tc>
          <w:tcPr>
            <w:tcW w:w="9854" w:type="dxa"/>
            <w:tcBorders>
              <w:top w:val="nil"/>
              <w:left w:val="nil"/>
              <w:bottom w:val="nil"/>
              <w:right w:val="nil"/>
            </w:tcBorders>
            <w:shd w:val="clear" w:color="auto" w:fill="auto"/>
          </w:tcPr>
          <w:p w:rsidR="000A1563" w:rsidRPr="006F0E8E" w:rsidRDefault="000A1563" w:rsidP="00DF59C9">
            <w:pPr>
              <w:jc w:val="center"/>
              <w:rPr>
                <w:b/>
                <w:caps/>
                <w:color w:val="000000" w:themeColor="text1"/>
              </w:rPr>
            </w:pPr>
            <w:r w:rsidRPr="00995EB3">
              <w:rPr>
                <w:b/>
                <w:caps/>
              </w:rPr>
              <w:t xml:space="preserve">DĖL </w:t>
            </w:r>
            <w:r w:rsidR="008C3E43">
              <w:rPr>
                <w:b/>
              </w:rPr>
              <w:t xml:space="preserve">UKMERGĖS </w:t>
            </w:r>
            <w:r w:rsidR="008C3E43" w:rsidRPr="004043DE">
              <w:rPr>
                <w:b/>
              </w:rPr>
              <w:t>RAJONO</w:t>
            </w:r>
            <w:r w:rsidR="008C3E43">
              <w:rPr>
                <w:b/>
              </w:rPr>
              <w:t xml:space="preserve"> SAVIVALDYBĖS </w:t>
            </w:r>
            <w:r>
              <w:rPr>
                <w:b/>
              </w:rPr>
              <w:t>VANDENS TIEKIMO IR NUOTEKŲ TVARKYMO INFRASTRUKTŪROS PLĖTROS SPECIALIOJO PLANO KEITIMO ORGANIZAVIMO, PLANAVIMO TIKSLŲ IR PLANAVIMO DARBŲ PROGRAMOS PATVIRTINIMO</w:t>
            </w:r>
          </w:p>
        </w:tc>
      </w:tr>
      <w:tr w:rsidR="000A1563" w:rsidRPr="006F0E8E" w:rsidTr="000C41DA">
        <w:trPr>
          <w:trHeight w:val="301"/>
        </w:trPr>
        <w:tc>
          <w:tcPr>
            <w:tcW w:w="9854" w:type="dxa"/>
            <w:tcBorders>
              <w:top w:val="nil"/>
              <w:left w:val="nil"/>
              <w:bottom w:val="nil"/>
              <w:right w:val="nil"/>
            </w:tcBorders>
            <w:shd w:val="clear" w:color="auto" w:fill="auto"/>
          </w:tcPr>
          <w:p w:rsidR="000A1563" w:rsidRPr="006F0E8E" w:rsidRDefault="000A1563" w:rsidP="000C41DA">
            <w:pPr>
              <w:jc w:val="center"/>
              <w:rPr>
                <w:b/>
                <w:color w:val="000000" w:themeColor="text1"/>
              </w:rPr>
            </w:pPr>
          </w:p>
        </w:tc>
      </w:tr>
      <w:tr w:rsidR="000A1563" w:rsidRPr="006F0E8E" w:rsidTr="000C41DA">
        <w:trPr>
          <w:cantSplit/>
        </w:trPr>
        <w:tc>
          <w:tcPr>
            <w:tcW w:w="9854" w:type="dxa"/>
            <w:tcBorders>
              <w:top w:val="nil"/>
              <w:left w:val="nil"/>
              <w:bottom w:val="nil"/>
              <w:right w:val="nil"/>
            </w:tcBorders>
            <w:shd w:val="clear" w:color="auto" w:fill="auto"/>
          </w:tcPr>
          <w:p w:rsidR="000A1563" w:rsidRPr="006F0E8E" w:rsidRDefault="000A1563" w:rsidP="000A1563">
            <w:pPr>
              <w:jc w:val="center"/>
              <w:rPr>
                <w:color w:val="000000" w:themeColor="text1"/>
              </w:rPr>
            </w:pPr>
            <w:r>
              <w:rPr>
                <w:color w:val="000000" w:themeColor="text1"/>
              </w:rPr>
              <w:t>2020</w:t>
            </w:r>
            <w:r w:rsidRPr="006F0E8E">
              <w:rPr>
                <w:color w:val="000000" w:themeColor="text1"/>
              </w:rPr>
              <w:t xml:space="preserve"> m. </w:t>
            </w:r>
            <w:r>
              <w:rPr>
                <w:color w:val="000000" w:themeColor="text1"/>
              </w:rPr>
              <w:t xml:space="preserve">balandžio   </w:t>
            </w:r>
            <w:r w:rsidRPr="006F0E8E">
              <w:rPr>
                <w:color w:val="000000" w:themeColor="text1"/>
              </w:rPr>
              <w:t xml:space="preserve">    d. Nr.</w:t>
            </w:r>
          </w:p>
        </w:tc>
      </w:tr>
      <w:tr w:rsidR="000A1563" w:rsidRPr="006F0E8E" w:rsidTr="000C41DA">
        <w:trPr>
          <w:cantSplit/>
        </w:trPr>
        <w:tc>
          <w:tcPr>
            <w:tcW w:w="9854" w:type="dxa"/>
            <w:tcBorders>
              <w:top w:val="nil"/>
              <w:left w:val="nil"/>
              <w:bottom w:val="nil"/>
              <w:right w:val="nil"/>
            </w:tcBorders>
            <w:shd w:val="clear" w:color="auto" w:fill="auto"/>
          </w:tcPr>
          <w:p w:rsidR="000A1563" w:rsidRPr="006F0E8E" w:rsidRDefault="000A1563" w:rsidP="000C41DA">
            <w:pPr>
              <w:jc w:val="center"/>
              <w:rPr>
                <w:color w:val="000000" w:themeColor="text1"/>
              </w:rPr>
            </w:pPr>
            <w:r w:rsidRPr="006F0E8E">
              <w:rPr>
                <w:color w:val="000000" w:themeColor="text1"/>
              </w:rPr>
              <w:t>Ukmergė</w:t>
            </w:r>
          </w:p>
        </w:tc>
      </w:tr>
    </w:tbl>
    <w:p w:rsidR="000A1563" w:rsidRPr="006F0E8E" w:rsidRDefault="000A1563" w:rsidP="0092341A">
      <w:pPr>
        <w:rPr>
          <w:color w:val="000000" w:themeColor="text1"/>
        </w:rPr>
      </w:pPr>
      <w:r w:rsidRPr="006F0E8E">
        <w:rPr>
          <w:color w:val="000000" w:themeColor="text1"/>
        </w:rPr>
        <w:tab/>
      </w:r>
    </w:p>
    <w:p w:rsidR="00E86C85" w:rsidRDefault="000A1563" w:rsidP="000A1563">
      <w:pPr>
        <w:ind w:firstLine="1296"/>
        <w:jc w:val="both"/>
        <w:rPr>
          <w:color w:val="000000"/>
        </w:rPr>
      </w:pPr>
      <w:r w:rsidRPr="001E60B2">
        <w:rPr>
          <w:color w:val="000000" w:themeColor="text1"/>
        </w:rPr>
        <w:t>Vadovaudamasi</w:t>
      </w:r>
      <w:r>
        <w:rPr>
          <w:color w:val="000000" w:themeColor="text1"/>
        </w:rPr>
        <w:t xml:space="preserve">s </w:t>
      </w:r>
      <w:r w:rsidRPr="00AE7BF1">
        <w:rPr>
          <w:color w:val="000000"/>
        </w:rPr>
        <w:t xml:space="preserve">Lietuvos Respublikos savivaldos įstatymo 29 straipsnio 8 dalies 2 ir 14 punktais, </w:t>
      </w:r>
      <w:r w:rsidRPr="00AE7BF1">
        <w:t xml:space="preserve">Lietuvos Respublikos aplinkos ministro 2006 m. gruodžio 29 d. įsakymu Nr. D1-636 „Dėl geriamojo vandens tiekimo ir nuotekų tvarkymo infrastruktūros plėtros planų rengimo taisyklių patvirtinimo“, patvirtintų Geriamojo vandens tiekimo ir nuotekų tvarkymo infrastruktūros plėtros planų rengimo taisyklių 12 punktu ir </w:t>
      </w:r>
      <w:r w:rsidRPr="00AE7BF1">
        <w:rPr>
          <w:color w:val="000000"/>
        </w:rPr>
        <w:t xml:space="preserve">Ukmergės rajono savivaldybės tarybos 2019 m. spalio 31 d. sprendimu Nr. 7-156 ,,Dėl Ukmergės </w:t>
      </w:r>
      <w:r w:rsidRPr="00AE7BF1">
        <w:t>rajono savivaldybės vandens tiekimo ir nuotekų tvarkymo infrastruktūros plėtros specialiojo plano keitimo</w:t>
      </w:r>
      <w:r w:rsidRPr="00AE7BF1">
        <w:rPr>
          <w:color w:val="000000"/>
        </w:rPr>
        <w:t>“:</w:t>
      </w:r>
    </w:p>
    <w:p w:rsidR="009D1805" w:rsidRDefault="009D1805" w:rsidP="009D1805">
      <w:pPr>
        <w:tabs>
          <w:tab w:val="left" w:pos="748"/>
        </w:tabs>
        <w:ind w:firstLine="1290"/>
        <w:jc w:val="both"/>
      </w:pPr>
      <w:r w:rsidRPr="009D1805">
        <w:rPr>
          <w:color w:val="000000"/>
        </w:rPr>
        <w:t>1.</w:t>
      </w:r>
      <w:r>
        <w:t xml:space="preserve"> </w:t>
      </w:r>
      <w:r w:rsidRPr="009D1805">
        <w:rPr>
          <w:color w:val="000000"/>
        </w:rPr>
        <w:t xml:space="preserve">O r g a n i z u o j u  </w:t>
      </w:r>
      <w:r w:rsidRPr="00AE7BF1">
        <w:t>Ukmergės rajono savivaldybės vandens tiekimo ir nuotekų tvarkymo infrastruktūros plėtros specialiojo plano, patvirtinto Ukmergės rajono savivaldybės tarybos 2009 m. rugpjūčio 20 d. sprendimu Nr. 7-173 ,,Dėl Ukmergės rajono savivaldybės vandens tiekimo ir nuotekų tvarkymo infrastruktūros specialiojo plano patvirtinimo“</w:t>
      </w:r>
      <w:r w:rsidR="00F93B06" w:rsidRPr="00F93B06">
        <w:rPr>
          <w:sz w:val="22"/>
          <w:szCs w:val="22"/>
        </w:rPr>
        <w:t xml:space="preserve"> </w:t>
      </w:r>
      <w:r w:rsidR="00F93B06" w:rsidRPr="00F63F0C">
        <w:rPr>
          <w:sz w:val="22"/>
          <w:szCs w:val="22"/>
        </w:rPr>
        <w:t>(</w:t>
      </w:r>
      <w:hyperlink r:id="rId5" w:history="1">
        <w:r w:rsidR="00F93B06" w:rsidRPr="00F93B06">
          <w:rPr>
            <w:rStyle w:val="Hipersaitas"/>
            <w:i/>
            <w:sz w:val="22"/>
            <w:szCs w:val="22"/>
            <w:u w:val="none"/>
          </w:rPr>
          <w:t>www.tpdr.lt</w:t>
        </w:r>
      </w:hyperlink>
      <w:r w:rsidR="00F93B06" w:rsidRPr="00F93B06">
        <w:rPr>
          <w:i/>
          <w:color w:val="000000"/>
          <w:sz w:val="22"/>
          <w:szCs w:val="22"/>
        </w:rPr>
        <w:t xml:space="preserve"> dokumento registro Nr.T00002245)</w:t>
      </w:r>
      <w:r w:rsidR="00F93B06">
        <w:rPr>
          <w:b/>
          <w:i/>
          <w:color w:val="000000"/>
          <w:sz w:val="22"/>
          <w:szCs w:val="22"/>
        </w:rPr>
        <w:t>,</w:t>
      </w:r>
      <w:r w:rsidRPr="00AE7BF1">
        <w:t xml:space="preserve"> keitimo rengimą, kurio tikslas - nustatyti aglomeracijas </w:t>
      </w:r>
      <w:r w:rsidRPr="009D1805">
        <w:rPr>
          <w:color w:val="000000"/>
          <w:lang w:eastAsia="lt-LT"/>
        </w:rPr>
        <w:t xml:space="preserve">ir viešojo geriamojo vandens tiekimo ir nuotekų tvarkymo plėtrai reikalingas teritorijas, </w:t>
      </w:r>
      <w:r w:rsidRPr="00AE7BF1">
        <w:t>geriamojo vandens tiekimo ir nuotekų tvarkymo infrastruktūros plėtros prioritetines kryptis, nu</w:t>
      </w:r>
      <w:r>
        <w:t>rodyti</w:t>
      </w:r>
      <w:r w:rsidRPr="00AE7BF1">
        <w:t xml:space="preserve"> </w:t>
      </w:r>
      <w:r>
        <w:t>šios</w:t>
      </w:r>
      <w:r w:rsidRPr="00AE7BF1">
        <w:t xml:space="preserve"> infrastruktūros </w:t>
      </w:r>
      <w:r>
        <w:t xml:space="preserve">plėtros </w:t>
      </w:r>
      <w:r w:rsidRPr="00AE7BF1">
        <w:t xml:space="preserve">įgyvendinimo etapus </w:t>
      </w:r>
      <w:r w:rsidRPr="009D1805">
        <w:rPr>
          <w:color w:val="000000"/>
          <w:lang w:eastAsia="lt-LT"/>
        </w:rPr>
        <w:t>(eigą, eiliškumą) ir finansavimą, siekiant, kad visi gyventojai gautų saugos ir kokybės reikalavimus atitinkantį geriamąjį vandenį ir nuotekų tvarkymo paslaugas arba turėtų galimybę individualiai apsirūpinti geriamuoju vandeniu ir (arba) individualiai tvarkyti nuotekas</w:t>
      </w:r>
      <w:r w:rsidRPr="00AE7BF1">
        <w:t>.</w:t>
      </w:r>
    </w:p>
    <w:p w:rsidR="00E92BDC" w:rsidRDefault="00E92BDC" w:rsidP="009D1805">
      <w:pPr>
        <w:tabs>
          <w:tab w:val="left" w:pos="748"/>
        </w:tabs>
        <w:ind w:firstLine="1290"/>
        <w:jc w:val="both"/>
      </w:pPr>
      <w:r>
        <w:t xml:space="preserve">2. T v i r t i n u  Planavimo darbų programą </w:t>
      </w:r>
      <w:r w:rsidRPr="00AE7BF1">
        <w:t>Ukmergės rajono savivaldybės vandens tiekimo ir nuotekų tvarkymo infrastruktūros plėtros specialiojo plano</w:t>
      </w:r>
      <w:r>
        <w:t xml:space="preserve"> keitimui (pridedama).</w:t>
      </w:r>
    </w:p>
    <w:p w:rsidR="00E92BDC" w:rsidRDefault="00E92BDC" w:rsidP="009D1805">
      <w:pPr>
        <w:tabs>
          <w:tab w:val="left" w:pos="748"/>
        </w:tabs>
        <w:ind w:firstLine="1290"/>
        <w:jc w:val="both"/>
      </w:pPr>
      <w:r>
        <w:t>3. Į p</w:t>
      </w:r>
      <w:r w:rsidR="00D32C2C">
        <w:t xml:space="preserve"> a</w:t>
      </w:r>
      <w:r>
        <w:t xml:space="preserve"> r e i g o j u  Architektūros ir urbanistikos skyrių užtikrinti šio įsakymo viešinimą Teritorijų planavimo </w:t>
      </w:r>
      <w:r w:rsidR="00DE2E0B" w:rsidRPr="00DE2E0B">
        <w:rPr>
          <w:color w:val="000000" w:themeColor="text1"/>
        </w:rPr>
        <w:t>įstatymo</w:t>
      </w:r>
      <w:r w:rsidRPr="00DE2E0B">
        <w:rPr>
          <w:color w:val="000000" w:themeColor="text1"/>
        </w:rPr>
        <w:t xml:space="preserve"> 3</w:t>
      </w:r>
      <w:r>
        <w:t xml:space="preserve">4 straipsnio 2 dalyje ir Visuomenės informavimo, konsultavimo ir dalyvavimo priimant sprendimus dėl teritorijų planavimo nuostatuose, patvirtintuose Lietuvos Respublikos </w:t>
      </w:r>
      <w:r w:rsidR="0092341A">
        <w:t xml:space="preserve">Vyriausybės </w:t>
      </w:r>
      <w:r>
        <w:t xml:space="preserve">1996 m. rugsėjo 18 d. nutarimu Nr. 1079 ,,Dėl visuomenės informavimo, konsultavimo ir dalyvavimo priimant sprendimus dėl teritorijų </w:t>
      </w:r>
      <w:r w:rsidRPr="00CC1817">
        <w:rPr>
          <w:color w:val="000000" w:themeColor="text1"/>
        </w:rPr>
        <w:t>planavimo nuostatų patvirtinimo</w:t>
      </w:r>
      <w:r>
        <w:t>“, nustatyta tvarka.</w:t>
      </w:r>
    </w:p>
    <w:p w:rsidR="00E92BDC" w:rsidRDefault="00E92BDC" w:rsidP="009D1805">
      <w:pPr>
        <w:tabs>
          <w:tab w:val="left" w:pos="748"/>
        </w:tabs>
        <w:ind w:firstLine="1290"/>
        <w:jc w:val="both"/>
      </w:pPr>
      <w:r w:rsidRPr="00CC1817">
        <w:rPr>
          <w:rFonts w:eastAsiaTheme="minorHAnsi"/>
          <w:color w:val="000000" w:themeColor="text1"/>
        </w:rPr>
        <w:t>Šis įsakymas gali būti skundžiamas Lietuvos Respublikos administracinių bylų teisenos įstatymo nustatyta tvarka Vilniaus apygardos administraciniam teismui (Žygimantų g. 2, 01102 Vilnius) per vie</w:t>
      </w:r>
      <w:r>
        <w:rPr>
          <w:rFonts w:eastAsiaTheme="minorHAnsi"/>
          <w:color w:val="000000" w:themeColor="text1"/>
        </w:rPr>
        <w:t xml:space="preserve">ną mėnesį nuo jo gavimo dienos. </w:t>
      </w:r>
    </w:p>
    <w:p w:rsidR="009D1805" w:rsidRDefault="009D1805" w:rsidP="009D1805">
      <w:pPr>
        <w:ind w:firstLine="1296"/>
        <w:jc w:val="both"/>
      </w:pPr>
    </w:p>
    <w:p w:rsidR="00E92BDC" w:rsidRDefault="00E92BDC" w:rsidP="009D1805">
      <w:pPr>
        <w:ind w:firstLine="1296"/>
        <w:jc w:val="both"/>
      </w:pPr>
    </w:p>
    <w:p w:rsidR="00E92BDC" w:rsidRDefault="00E92BDC" w:rsidP="00E92BDC">
      <w:pPr>
        <w:jc w:val="both"/>
      </w:pPr>
      <w:r>
        <w:t xml:space="preserve">Administracijos direktorius </w:t>
      </w:r>
      <w:r>
        <w:tab/>
      </w:r>
      <w:r>
        <w:tab/>
      </w:r>
      <w:r>
        <w:tab/>
        <w:t>Darius Varnas</w:t>
      </w:r>
    </w:p>
    <w:p w:rsidR="00E92BDC" w:rsidRDefault="00E92BDC" w:rsidP="00E92BDC">
      <w:pPr>
        <w:jc w:val="both"/>
      </w:pPr>
    </w:p>
    <w:p w:rsidR="00E92BDC" w:rsidRDefault="00E92BDC" w:rsidP="00E92BDC">
      <w:pPr>
        <w:jc w:val="both"/>
      </w:pPr>
    </w:p>
    <w:p w:rsidR="004D78E3" w:rsidRDefault="004D78E3" w:rsidP="00E92BDC">
      <w:pPr>
        <w:jc w:val="both"/>
      </w:pPr>
    </w:p>
    <w:p w:rsidR="00E92BDC" w:rsidRDefault="00E92BDC" w:rsidP="00E92BDC">
      <w:pPr>
        <w:jc w:val="both"/>
      </w:pPr>
      <w:r>
        <w:t xml:space="preserve">Aldona </w:t>
      </w:r>
      <w:proofErr w:type="spellStart"/>
      <w:r>
        <w:t>Tijūnelienė</w:t>
      </w:r>
      <w:proofErr w:type="spellEnd"/>
    </w:p>
    <w:p w:rsidR="004D78E3" w:rsidRDefault="004D78E3" w:rsidP="007D01E4">
      <w:pPr>
        <w:pStyle w:val="Default"/>
        <w:ind w:left="5184" w:firstLine="1296"/>
        <w:jc w:val="both"/>
      </w:pPr>
    </w:p>
    <w:p w:rsidR="007D01E4" w:rsidRPr="00E2156D" w:rsidRDefault="007D01E4" w:rsidP="007D01E4">
      <w:pPr>
        <w:pStyle w:val="Default"/>
        <w:ind w:left="5184" w:firstLine="1296"/>
        <w:jc w:val="both"/>
      </w:pPr>
      <w:r w:rsidRPr="00E2156D">
        <w:lastRenderedPageBreak/>
        <w:t xml:space="preserve">PATVIRTINTA </w:t>
      </w:r>
    </w:p>
    <w:p w:rsidR="007D01E4" w:rsidRPr="00E2156D" w:rsidRDefault="007D01E4" w:rsidP="007D01E4">
      <w:pPr>
        <w:pStyle w:val="Default"/>
        <w:ind w:left="5184" w:firstLine="1296"/>
        <w:jc w:val="both"/>
      </w:pPr>
      <w:r w:rsidRPr="00E2156D">
        <w:t xml:space="preserve">Ukmergės  rajono savivaldybės </w:t>
      </w:r>
    </w:p>
    <w:p w:rsidR="007D01E4" w:rsidRPr="00E2156D" w:rsidRDefault="007D01E4" w:rsidP="007D01E4">
      <w:pPr>
        <w:pStyle w:val="Default"/>
        <w:ind w:left="5184" w:firstLine="1296"/>
        <w:jc w:val="both"/>
      </w:pPr>
      <w:r w:rsidRPr="00E2156D">
        <w:t xml:space="preserve">administracijos direktoriaus </w:t>
      </w:r>
    </w:p>
    <w:p w:rsidR="007D01E4" w:rsidRPr="00E2156D" w:rsidRDefault="007D01E4" w:rsidP="007D01E4">
      <w:pPr>
        <w:pStyle w:val="Default"/>
        <w:ind w:left="5184" w:firstLine="1296"/>
        <w:jc w:val="both"/>
      </w:pPr>
      <w:r w:rsidRPr="00E2156D">
        <w:t xml:space="preserve">2020 m. balandžio       d.  </w:t>
      </w:r>
    </w:p>
    <w:p w:rsidR="007D01E4" w:rsidRPr="00E2156D" w:rsidRDefault="007D01E4" w:rsidP="007D01E4">
      <w:pPr>
        <w:pStyle w:val="Default"/>
        <w:ind w:left="5184" w:firstLine="1296"/>
        <w:jc w:val="both"/>
      </w:pPr>
      <w:r w:rsidRPr="00E2156D">
        <w:t xml:space="preserve">įsakymu Nr. 13- </w:t>
      </w:r>
    </w:p>
    <w:p w:rsidR="007D01E4" w:rsidRDefault="007D01E4" w:rsidP="007D01E4">
      <w:pPr>
        <w:pStyle w:val="Default"/>
        <w:jc w:val="both"/>
        <w:rPr>
          <w:sz w:val="23"/>
          <w:szCs w:val="23"/>
        </w:rPr>
      </w:pPr>
    </w:p>
    <w:p w:rsidR="007D01E4" w:rsidRPr="00E2156D" w:rsidRDefault="007D01E4" w:rsidP="007D01E4">
      <w:pPr>
        <w:pStyle w:val="Default"/>
        <w:jc w:val="center"/>
        <w:rPr>
          <w:b/>
          <w:bCs/>
        </w:rPr>
      </w:pPr>
      <w:r w:rsidRPr="00E2156D">
        <w:rPr>
          <w:b/>
          <w:bCs/>
        </w:rPr>
        <w:t>UKMERGĖS RAJONO SAVIVALDYBĖS VANDENS TIEKIMO IR NUOTEKŲ TVARKYMO INFRASTRUKTŪROS PLĖTROS SPECIALIOJO PLANO KEITIMO PLANAVIMO DARBŲ PROGRAMA</w:t>
      </w:r>
    </w:p>
    <w:p w:rsidR="007D01E4" w:rsidRPr="00E2156D" w:rsidRDefault="007D01E4" w:rsidP="007D01E4">
      <w:pPr>
        <w:pStyle w:val="Default"/>
        <w:jc w:val="both"/>
        <w:rPr>
          <w:bCs/>
        </w:rPr>
      </w:pPr>
    </w:p>
    <w:p w:rsidR="007D01E4" w:rsidRPr="00D332B7" w:rsidRDefault="007D01E4" w:rsidP="007D01E4">
      <w:pPr>
        <w:jc w:val="both"/>
        <w:rPr>
          <w:b/>
          <w:bCs/>
        </w:rPr>
      </w:pPr>
      <w:r>
        <w:rPr>
          <w:b/>
          <w:bCs/>
        </w:rPr>
        <w:tab/>
      </w:r>
      <w:r w:rsidRPr="00D332B7">
        <w:rPr>
          <w:b/>
          <w:bCs/>
        </w:rPr>
        <w:t xml:space="preserve">1. Teritorijų planavimo dokumento pavadinimas – </w:t>
      </w:r>
      <w:r w:rsidRPr="00D332B7">
        <w:t>Ukmergės rajono savivaldybės vandens tiekimo ir nuotekų tvarkymo infrastruktūros plėtros specialiojo plano keitimas.</w:t>
      </w:r>
      <w:r w:rsidRPr="00D332B7">
        <w:rPr>
          <w:b/>
          <w:bCs/>
        </w:rPr>
        <w:t xml:space="preserve"> </w:t>
      </w:r>
    </w:p>
    <w:p w:rsidR="007D01E4" w:rsidRPr="00D332B7" w:rsidRDefault="007D01E4" w:rsidP="007D01E4">
      <w:pPr>
        <w:jc w:val="both"/>
        <w:rPr>
          <w:b/>
          <w:bCs/>
        </w:rPr>
      </w:pPr>
      <w:r w:rsidRPr="00D332B7">
        <w:rPr>
          <w:b/>
          <w:bCs/>
        </w:rPr>
        <w:tab/>
        <w:t>2. Specialiojo plano rengimo pagrindas:</w:t>
      </w:r>
    </w:p>
    <w:p w:rsidR="007D01E4" w:rsidRPr="00D332B7" w:rsidRDefault="007D01E4" w:rsidP="007D01E4">
      <w:pPr>
        <w:jc w:val="both"/>
      </w:pPr>
      <w:r w:rsidRPr="00D332B7">
        <w:rPr>
          <w:bCs/>
        </w:rPr>
        <w:tab/>
        <w:t>2.1.</w:t>
      </w:r>
      <w:r w:rsidRPr="00D332B7">
        <w:rPr>
          <w:b/>
          <w:bCs/>
        </w:rPr>
        <w:t xml:space="preserve"> </w:t>
      </w:r>
      <w:r w:rsidRPr="00D332B7">
        <w:t>Lietuvos Respublikos</w:t>
      </w:r>
      <w:r w:rsidR="00177F2C">
        <w:t xml:space="preserve"> teritorijų planavimo įstatymas.</w:t>
      </w:r>
      <w:r w:rsidRPr="00D332B7">
        <w:t xml:space="preserve"> </w:t>
      </w:r>
    </w:p>
    <w:p w:rsidR="007D01E4" w:rsidRPr="00D332B7" w:rsidRDefault="007D01E4" w:rsidP="007D01E4">
      <w:pPr>
        <w:jc w:val="both"/>
      </w:pPr>
      <w:r w:rsidRPr="00D332B7">
        <w:tab/>
        <w:t xml:space="preserve">2.2. Lietuvos Respublikos geriamojo vandens tiekimo </w:t>
      </w:r>
      <w:r w:rsidR="00177F2C">
        <w:t>ir nuotekų tvarkymo įstatymas.</w:t>
      </w:r>
      <w:r w:rsidRPr="00D332B7">
        <w:t xml:space="preserve"> </w:t>
      </w:r>
    </w:p>
    <w:p w:rsidR="00177F2C" w:rsidRDefault="007D01E4" w:rsidP="007D01E4">
      <w:pPr>
        <w:jc w:val="both"/>
      </w:pPr>
      <w:r w:rsidRPr="00D332B7">
        <w:tab/>
        <w:t>2.3. Geriamojo vandens tiekimo ir nuotekų tvarkymo infrastruktūros plėtros planų rengimo taisyklės, patvirtintos Lietuvos Respublikos aplinkos ministro 2006-12-29 įsakymu Nr. D1-636 „Dėl vandens tiekimo ir nuotekų tvarkymo infrastruktūros plėtros planų rengimo taisyklių patvirtinimo“ (su naujomis redakcijomis)</w:t>
      </w:r>
      <w:r w:rsidR="00177F2C">
        <w:t>.</w:t>
      </w:r>
    </w:p>
    <w:p w:rsidR="007D01E4" w:rsidRPr="00D332B7" w:rsidRDefault="007D01E4" w:rsidP="007D01E4">
      <w:pPr>
        <w:jc w:val="both"/>
      </w:pPr>
      <w:r w:rsidRPr="00D332B7">
        <w:tab/>
        <w:t xml:space="preserve">2.4. Ukmergės rajono savivaldybės teritorijos bendrojo plano, patvirtinto Ukmergės rajono savivaldybės tarybos </w:t>
      </w:r>
      <w:r w:rsidRPr="00D332B7">
        <w:rPr>
          <w:color w:val="000000" w:themeColor="text1"/>
        </w:rPr>
        <w:t xml:space="preserve">2019 m. sausio 31 d. sprendimu Nr.7-14 ,,Dėl pakeisto Ukmergės rajono savivaldybės teritorijos bendrojo plano patvirtinimo“ </w:t>
      </w:r>
      <w:r w:rsidRPr="001707B5">
        <w:rPr>
          <w:color w:val="000000" w:themeColor="text1"/>
          <w:u w:val="single"/>
        </w:rPr>
        <w:t>(</w:t>
      </w:r>
      <w:hyperlink r:id="rId6" w:history="1">
        <w:r w:rsidRPr="001707B5">
          <w:rPr>
            <w:rStyle w:val="Hipersaitas"/>
            <w:i/>
          </w:rPr>
          <w:t>www.tpdr.lt</w:t>
        </w:r>
      </w:hyperlink>
      <w:r w:rsidRPr="00D332B7">
        <w:rPr>
          <w:i/>
        </w:rPr>
        <w:t xml:space="preserve"> dokumento registro Nr.T00083123), </w:t>
      </w:r>
      <w:r w:rsidRPr="00D332B7">
        <w:rPr>
          <w:color w:val="000000" w:themeColor="text1"/>
        </w:rPr>
        <w:t>sprendiniai</w:t>
      </w:r>
      <w:r w:rsidR="00177F2C">
        <w:t>.</w:t>
      </w:r>
      <w:r w:rsidRPr="00D332B7">
        <w:t xml:space="preserve"> </w:t>
      </w:r>
    </w:p>
    <w:p w:rsidR="007D01E4" w:rsidRPr="00D332B7" w:rsidRDefault="007D01E4" w:rsidP="007D01E4">
      <w:pPr>
        <w:jc w:val="both"/>
        <w:rPr>
          <w:b/>
          <w:bCs/>
        </w:rPr>
      </w:pPr>
      <w:r w:rsidRPr="00D332B7">
        <w:rPr>
          <w:bCs/>
        </w:rPr>
        <w:tab/>
        <w:t>2.5.</w:t>
      </w:r>
      <w:r w:rsidRPr="00D332B7">
        <w:rPr>
          <w:b/>
          <w:bCs/>
        </w:rPr>
        <w:t xml:space="preserve"> </w:t>
      </w:r>
      <w:r w:rsidRPr="00D332B7">
        <w:t>Ukmergės rajono savivaldybės tarybos 2019 m. spalio 31 d. sprendimas Nr. 7-156 ,,Dėl Ukmergės rajono savivaldybės vandens tiekimo ir nuotekų tvarkymo infrastruktūros plėtros specialiojo plano keitimo“.</w:t>
      </w:r>
    </w:p>
    <w:p w:rsidR="007D01E4" w:rsidRPr="00D332B7" w:rsidRDefault="007D01E4" w:rsidP="007D01E4">
      <w:pPr>
        <w:jc w:val="both"/>
        <w:rPr>
          <w:bCs/>
        </w:rPr>
      </w:pPr>
      <w:r w:rsidRPr="00D332B7">
        <w:rPr>
          <w:b/>
          <w:bCs/>
        </w:rPr>
        <w:tab/>
        <w:t xml:space="preserve">3. Specialiojo plano organizatorius </w:t>
      </w:r>
      <w:r w:rsidRPr="00D332B7">
        <w:rPr>
          <w:bCs/>
        </w:rPr>
        <w:t xml:space="preserve">– Ukmergės rajono savivaldybės administracijos direktorius (Kęstučio a. 3, 20114 Ukmergė, tel. (8 340) 60302, faks. (8 340) 63370), el. p. </w:t>
      </w:r>
      <w:r w:rsidRPr="00D332B7">
        <w:rPr>
          <w:bCs/>
          <w:i/>
        </w:rPr>
        <w:t>savivaldybe@ukmerge.lt</w:t>
      </w:r>
      <w:r w:rsidRPr="00D332B7">
        <w:rPr>
          <w:bCs/>
        </w:rPr>
        <w:t>.</w:t>
      </w:r>
    </w:p>
    <w:p w:rsidR="007D01E4" w:rsidRPr="00D332B7" w:rsidRDefault="007D01E4" w:rsidP="007D01E4">
      <w:pPr>
        <w:jc w:val="both"/>
      </w:pPr>
      <w:r w:rsidRPr="00D332B7">
        <w:rPr>
          <w:b/>
          <w:bCs/>
        </w:rPr>
        <w:tab/>
        <w:t xml:space="preserve">4. Planuojama teritorija </w:t>
      </w:r>
      <w:r w:rsidRPr="00D332B7">
        <w:rPr>
          <w:bCs/>
        </w:rPr>
        <w:t>– Ukmergės rajono savivaldybės teritorija užimanti 1395 km</w:t>
      </w:r>
      <w:r w:rsidRPr="00D332B7">
        <w:rPr>
          <w:bCs/>
          <w:vertAlign w:val="superscript"/>
        </w:rPr>
        <w:t>2</w:t>
      </w:r>
      <w:r w:rsidRPr="00D332B7">
        <w:rPr>
          <w:bCs/>
        </w:rPr>
        <w:t xml:space="preserve"> plotą.</w:t>
      </w:r>
    </w:p>
    <w:p w:rsidR="007D01E4" w:rsidRPr="00D332B7" w:rsidRDefault="007D01E4" w:rsidP="007D01E4">
      <w:pPr>
        <w:jc w:val="both"/>
      </w:pPr>
      <w:r w:rsidRPr="00D332B7">
        <w:tab/>
      </w:r>
      <w:r w:rsidRPr="00D332B7">
        <w:rPr>
          <w:b/>
        </w:rPr>
        <w:t>5. Planavimo dokumento rūšis</w:t>
      </w:r>
      <w:r w:rsidRPr="00D332B7">
        <w:t xml:space="preserve"> - specialiojo teritorijų planavimo dokumentas, inžinerinės infrastruktūros vystymo planas.</w:t>
      </w:r>
    </w:p>
    <w:p w:rsidR="007D01E4" w:rsidRPr="00D332B7" w:rsidRDefault="007D01E4" w:rsidP="007D01E4">
      <w:pPr>
        <w:jc w:val="both"/>
      </w:pPr>
      <w:r w:rsidRPr="00D332B7">
        <w:rPr>
          <w:b/>
        </w:rPr>
        <w:tab/>
        <w:t>6. Teritorijų planavimo dokumento lygmuo</w:t>
      </w:r>
      <w:r w:rsidRPr="00D332B7">
        <w:t xml:space="preserve"> – savivaldybės lygmuo.</w:t>
      </w:r>
    </w:p>
    <w:p w:rsidR="007D01E4" w:rsidRPr="00D332B7" w:rsidRDefault="007D01E4" w:rsidP="007D01E4">
      <w:pPr>
        <w:jc w:val="both"/>
        <w:rPr>
          <w:b/>
        </w:rPr>
      </w:pPr>
      <w:r w:rsidRPr="00D332B7">
        <w:tab/>
      </w:r>
      <w:r w:rsidRPr="00D332B7">
        <w:rPr>
          <w:b/>
        </w:rPr>
        <w:t>7. Planavimo tikslai:</w:t>
      </w:r>
    </w:p>
    <w:p w:rsidR="007D01E4" w:rsidRPr="00D332B7" w:rsidRDefault="007D01E4" w:rsidP="007D01E4">
      <w:pPr>
        <w:jc w:val="both"/>
      </w:pPr>
      <w:r w:rsidRPr="00D332B7">
        <w:tab/>
        <w:t xml:space="preserve">7.1. Nustatyti aglomeracijas </w:t>
      </w:r>
      <w:r w:rsidRPr="00D332B7">
        <w:rPr>
          <w:lang w:eastAsia="lt-LT"/>
        </w:rPr>
        <w:t xml:space="preserve">ir viešojo geriamojo vandens tiekimo ir nuotekų tvarkymo plėtrai reikalingas teritorijas, </w:t>
      </w:r>
      <w:r w:rsidRPr="00D332B7">
        <w:t xml:space="preserve">geriamojo vandens tiekimo ir nuotekų tvarkymo infrastruktūros plėtros prioritetines kryptis, nurodyti šios infrastruktūros plėtros įgyvendinimo etapus </w:t>
      </w:r>
      <w:r w:rsidRPr="00D332B7">
        <w:rPr>
          <w:lang w:eastAsia="lt-LT"/>
        </w:rPr>
        <w:t>(eigą, eiliškumą) ir finansavimą, siekiant, kad visi gyventojai gautų saugos ir kokybės reikalavimus atitinkantį geriamąjį vandenį ir nuotekų tvarkymo paslaugas arba turėtų galimybę individualiai apsirūpinti geriamuoju vandeniu ir (arba) individualiai tvarkyti nuotekas</w:t>
      </w:r>
    </w:p>
    <w:p w:rsidR="007D01E4" w:rsidRPr="00D332B7" w:rsidRDefault="007D01E4" w:rsidP="007D01E4">
      <w:pPr>
        <w:jc w:val="both"/>
        <w:rPr>
          <w:b/>
          <w:bCs/>
        </w:rPr>
      </w:pPr>
      <w:r w:rsidRPr="00D332B7">
        <w:tab/>
      </w:r>
      <w:r w:rsidRPr="00D332B7">
        <w:rPr>
          <w:b/>
        </w:rPr>
        <w:t>8</w:t>
      </w:r>
      <w:r w:rsidRPr="00D332B7">
        <w:rPr>
          <w:b/>
          <w:bCs/>
        </w:rPr>
        <w:t xml:space="preserve">. Planavimo uždaviniai: </w:t>
      </w:r>
    </w:p>
    <w:p w:rsidR="007D01E4" w:rsidRPr="00D332B7" w:rsidRDefault="007D01E4" w:rsidP="007D01E4">
      <w:pPr>
        <w:jc w:val="both"/>
      </w:pPr>
      <w:r w:rsidRPr="00D332B7">
        <w:rPr>
          <w:bCs/>
        </w:rPr>
        <w:tab/>
        <w:t xml:space="preserve">8.1. </w:t>
      </w:r>
      <w:r w:rsidR="007573B1">
        <w:rPr>
          <w:bCs/>
        </w:rPr>
        <w:t>P</w:t>
      </w:r>
      <w:r w:rsidRPr="00D332B7">
        <w:t>atikslinti viešojo geriamojo vandens tiekimo ir nuotekų tvark</w:t>
      </w:r>
      <w:r w:rsidR="007573B1">
        <w:t>ymo infrastruktūros teritorijas.</w:t>
      </w:r>
      <w:r w:rsidRPr="00D332B7">
        <w:t xml:space="preserve"> </w:t>
      </w:r>
    </w:p>
    <w:p w:rsidR="007D01E4" w:rsidRPr="00D332B7" w:rsidRDefault="007D01E4" w:rsidP="007D01E4">
      <w:pPr>
        <w:jc w:val="both"/>
      </w:pPr>
      <w:r w:rsidRPr="00D332B7">
        <w:tab/>
        <w:t xml:space="preserve">8.2. </w:t>
      </w:r>
      <w:r w:rsidR="007573B1">
        <w:t>P</w:t>
      </w:r>
      <w:r w:rsidRPr="00D332B7">
        <w:t>atikslinti geriamojo vandens ir nuotekų tvarkymo infrastruktūros plėtros kryptis</w:t>
      </w:r>
      <w:r w:rsidR="007573B1">
        <w:t>.</w:t>
      </w:r>
      <w:r w:rsidRPr="00D332B7">
        <w:t xml:space="preserve"> </w:t>
      </w:r>
    </w:p>
    <w:p w:rsidR="007D01E4" w:rsidRPr="00D332B7" w:rsidRDefault="007D01E4" w:rsidP="007D01E4">
      <w:pPr>
        <w:jc w:val="both"/>
        <w:rPr>
          <w:bCs/>
        </w:rPr>
      </w:pPr>
      <w:r w:rsidRPr="00D332B7">
        <w:tab/>
        <w:t xml:space="preserve">8.3. </w:t>
      </w:r>
      <w:r w:rsidR="007573B1">
        <w:t>P</w:t>
      </w:r>
      <w:r w:rsidRPr="00D332B7">
        <w:t>atikslinti geriamojo vandens ir nuotekų sistemų plėtrai reikalingas teritorijas</w:t>
      </w:r>
      <w:r w:rsidR="007573B1">
        <w:t>.</w:t>
      </w:r>
      <w:r w:rsidRPr="00D332B7">
        <w:rPr>
          <w:bCs/>
        </w:rPr>
        <w:tab/>
        <w:t xml:space="preserve">8.4. </w:t>
      </w:r>
      <w:r w:rsidR="007573B1">
        <w:rPr>
          <w:bCs/>
        </w:rPr>
        <w:t>N</w:t>
      </w:r>
      <w:r w:rsidRPr="00D332B7">
        <w:t>ustatyti viešojo geriamojo vandens tiekimo ir nuotekų tvarkymo</w:t>
      </w:r>
      <w:r w:rsidR="007573B1">
        <w:t xml:space="preserve"> aglomeracijų teritorijos ribas.</w:t>
      </w:r>
    </w:p>
    <w:p w:rsidR="007D01E4" w:rsidRPr="00D332B7" w:rsidRDefault="007D01E4" w:rsidP="007D01E4">
      <w:pPr>
        <w:jc w:val="both"/>
      </w:pPr>
      <w:r w:rsidRPr="00D332B7">
        <w:rPr>
          <w:bCs/>
        </w:rPr>
        <w:tab/>
        <w:t xml:space="preserve">8.5. </w:t>
      </w:r>
      <w:r w:rsidR="007573B1">
        <w:rPr>
          <w:bCs/>
        </w:rPr>
        <w:t>N</w:t>
      </w:r>
      <w:r w:rsidRPr="00D332B7">
        <w:rPr>
          <w:bCs/>
        </w:rPr>
        <w:t xml:space="preserve">umatyti </w:t>
      </w:r>
      <w:r w:rsidRPr="00D332B7">
        <w:t xml:space="preserve">geriamojo vandens ir nuotekų sistemų </w:t>
      </w:r>
      <w:r w:rsidR="007573B1">
        <w:t>plėtrai reikalingas teritorijas.</w:t>
      </w:r>
    </w:p>
    <w:p w:rsidR="007D01E4" w:rsidRPr="00D332B7" w:rsidRDefault="007D01E4" w:rsidP="007D01E4">
      <w:pPr>
        <w:jc w:val="both"/>
      </w:pPr>
      <w:r w:rsidRPr="00D332B7">
        <w:lastRenderedPageBreak/>
        <w:tab/>
        <w:t xml:space="preserve">8.6. </w:t>
      </w:r>
      <w:r w:rsidR="007573B1">
        <w:t>N</w:t>
      </w:r>
      <w:r w:rsidRPr="00D332B7">
        <w:t>umatyti geriamojo vandens tiekimo ir nuotekų tvarkymo infrastruktūros ir jos vystymui reika</w:t>
      </w:r>
      <w:r w:rsidR="007573B1">
        <w:t>lingų teritorijų apsaugos zonas.</w:t>
      </w:r>
      <w:r w:rsidRPr="00D332B7">
        <w:t xml:space="preserve"> </w:t>
      </w:r>
    </w:p>
    <w:p w:rsidR="007D01E4" w:rsidRPr="00D332B7" w:rsidRDefault="007D01E4" w:rsidP="007D01E4">
      <w:pPr>
        <w:jc w:val="both"/>
      </w:pPr>
      <w:r w:rsidRPr="00D332B7">
        <w:rPr>
          <w:bCs/>
        </w:rPr>
        <w:tab/>
        <w:t xml:space="preserve">8.7. </w:t>
      </w:r>
      <w:r w:rsidR="007573B1">
        <w:rPr>
          <w:bCs/>
        </w:rPr>
        <w:t>E</w:t>
      </w:r>
      <w:r w:rsidRPr="00D332B7">
        <w:t>sant poreikiui, numatyti pagrįstas konkrečias vietas že</w:t>
      </w:r>
      <w:r w:rsidR="007573B1">
        <w:t>mę paimti visuomenės poreikiams.</w:t>
      </w:r>
    </w:p>
    <w:p w:rsidR="007D01E4" w:rsidRPr="00D332B7" w:rsidRDefault="007D01E4" w:rsidP="007D01E4">
      <w:pPr>
        <w:jc w:val="both"/>
      </w:pPr>
      <w:r w:rsidRPr="00D332B7">
        <w:tab/>
        <w:t xml:space="preserve">8.8. </w:t>
      </w:r>
      <w:r w:rsidR="007573B1">
        <w:t>N</w:t>
      </w:r>
      <w:r w:rsidRPr="00D332B7">
        <w:t>umatyti geriamojo vandens tiekimo ir nuotekų tvarkymo infrastruktūrai funkcionuoti rei</w:t>
      </w:r>
      <w:r w:rsidR="007573B1">
        <w:t>kalingus servitutus.</w:t>
      </w:r>
    </w:p>
    <w:p w:rsidR="007D01E4" w:rsidRPr="00D332B7" w:rsidRDefault="007D01E4" w:rsidP="007D01E4">
      <w:pPr>
        <w:jc w:val="both"/>
      </w:pPr>
      <w:r w:rsidRPr="00D332B7">
        <w:tab/>
        <w:t xml:space="preserve">8.9. </w:t>
      </w:r>
      <w:r w:rsidR="007573B1" w:rsidRPr="00DE2E0B">
        <w:rPr>
          <w:color w:val="000000" w:themeColor="text1"/>
        </w:rPr>
        <w:t>N</w:t>
      </w:r>
      <w:r w:rsidRPr="00DE2E0B">
        <w:rPr>
          <w:color w:val="000000" w:themeColor="text1"/>
        </w:rPr>
        <w:t xml:space="preserve">urodyti </w:t>
      </w:r>
      <w:r w:rsidRPr="00D332B7">
        <w:t>geriamojo vandens tiekimo ir nuotekų tvarkymo infrastruktūros specialiąsias žemės naudojimo sąlygas ir parengti specialiųjų žemės naudojimo sąlygų teritorijų planus su žemės sklypų ribomis, kurie patenka į šias teritorij</w:t>
      </w:r>
      <w:r w:rsidR="007573B1">
        <w:t>as.</w:t>
      </w:r>
      <w:r w:rsidRPr="00D332B7">
        <w:t xml:space="preserve"> </w:t>
      </w:r>
    </w:p>
    <w:p w:rsidR="007D01E4" w:rsidRPr="00D332B7" w:rsidRDefault="007D01E4" w:rsidP="007D01E4">
      <w:pPr>
        <w:jc w:val="both"/>
      </w:pPr>
      <w:r w:rsidRPr="00D332B7">
        <w:tab/>
        <w:t>8.10.</w:t>
      </w:r>
      <w:r w:rsidR="007573B1">
        <w:t xml:space="preserve"> I</w:t>
      </w:r>
      <w:r w:rsidRPr="00D332B7">
        <w:t>šnagrinėti esamas ir numatyti naujas geriamojo vandens tiekimo ir nuotekų tvarkymo infrastruktūros statinių vietas, jei joms būtina nustatyti sanitarinę apsaugos zoną, parengti sanitarinių apsaugos zonų teritorijų planus su žemės sklypų ribomis, k</w:t>
      </w:r>
      <w:r w:rsidR="007573B1">
        <w:t>urie patenka į šias teritorijas.</w:t>
      </w:r>
      <w:r w:rsidRPr="00D332B7">
        <w:t xml:space="preserve"> </w:t>
      </w:r>
    </w:p>
    <w:p w:rsidR="007D01E4" w:rsidRPr="00D332B7" w:rsidRDefault="007D01E4" w:rsidP="007D01E4">
      <w:pPr>
        <w:jc w:val="both"/>
      </w:pPr>
      <w:r w:rsidRPr="00D332B7">
        <w:tab/>
        <w:t xml:space="preserve">8.11. </w:t>
      </w:r>
      <w:r w:rsidR="007573B1">
        <w:t>S</w:t>
      </w:r>
      <w:r w:rsidRPr="00D332B7">
        <w:t>iekiant, kad visi gyventojai gautų saugos ir kokybės reikalavimus atitinkantį geriamąjį vandenį ir nuotekų tvarkymo paslaugas arba turėtų galimybę individualiai apsirūpinti geriamuoju vandeniu ir (arba) individualiai tvarkyti nuotekas, išnagrinėti ir parengti geriamojo vandens tiekimo ir nuotekų t</w:t>
      </w:r>
      <w:r w:rsidR="007573B1">
        <w:t>varkymo sprendinių alternatyvas.</w:t>
      </w:r>
      <w:r w:rsidRPr="00D332B7">
        <w:t xml:space="preserve"> </w:t>
      </w:r>
    </w:p>
    <w:p w:rsidR="007D01E4" w:rsidRPr="00D332B7" w:rsidRDefault="007D01E4" w:rsidP="007D01E4">
      <w:pPr>
        <w:jc w:val="both"/>
      </w:pPr>
      <w:r w:rsidRPr="00D332B7">
        <w:tab/>
        <w:t xml:space="preserve">8.12. </w:t>
      </w:r>
      <w:r w:rsidR="007573B1">
        <w:t>N</w:t>
      </w:r>
      <w:r w:rsidRPr="00D332B7">
        <w:t xml:space="preserve">urodyti specialiojo plano įgyvendinimo etapus (eiga, eiliškumas), apskaičiuoti sprendinių įgyvendinimui reikalingas investicijas, numatyti finansavimo šaltinius, parengti geriamojo vandens tiekimo ir nuotekų tvarkymo infrastruktūros vystymo ekonominį ir aplinkosauginį pagrindimą. </w:t>
      </w:r>
    </w:p>
    <w:p w:rsidR="007D01E4" w:rsidRPr="00D332B7" w:rsidRDefault="007D01E4" w:rsidP="007D01E4">
      <w:pPr>
        <w:jc w:val="both"/>
      </w:pPr>
      <w:r w:rsidRPr="00D332B7">
        <w:rPr>
          <w:b/>
        </w:rPr>
        <w:tab/>
        <w:t xml:space="preserve">9. Plano rengėjas - </w:t>
      </w:r>
      <w:r w:rsidRPr="00D332B7">
        <w:t xml:space="preserve">parenkamas Lietuvos Respublikos viešųjų pirkimų įstatymo ir kitų teisės aktų nustatyta tvarka. </w:t>
      </w:r>
    </w:p>
    <w:p w:rsidR="007D01E4" w:rsidRPr="00D332B7" w:rsidRDefault="007D01E4" w:rsidP="007D01E4">
      <w:pPr>
        <w:jc w:val="both"/>
        <w:rPr>
          <w:b/>
        </w:rPr>
      </w:pPr>
      <w:r w:rsidRPr="00D332B7">
        <w:tab/>
      </w:r>
      <w:r w:rsidRPr="00D332B7">
        <w:rPr>
          <w:b/>
        </w:rPr>
        <w:t>10. Atliekami tyrimai:</w:t>
      </w:r>
    </w:p>
    <w:p w:rsidR="007D01E4" w:rsidRPr="00D332B7" w:rsidRDefault="007D01E4" w:rsidP="007D01E4">
      <w:pPr>
        <w:jc w:val="both"/>
      </w:pPr>
      <w:r w:rsidRPr="00D332B7">
        <w:tab/>
        <w:t>10.1. Atliekami tyrimai vadovaujantis institucijų (nurodytų Geriamojo vandens tiekimo ir nuotekų tvarkymo infrastruktūros plėtros planų rengimo taisyklėse) išduotomis planavimo sąlygomis ir jose nurodytais reikalavimais.</w:t>
      </w:r>
    </w:p>
    <w:p w:rsidR="007D01E4" w:rsidRPr="00D332B7" w:rsidRDefault="007D01E4" w:rsidP="007D01E4">
      <w:pPr>
        <w:jc w:val="both"/>
        <w:rPr>
          <w:b/>
        </w:rPr>
      </w:pPr>
      <w:r w:rsidRPr="00D332B7">
        <w:tab/>
      </w:r>
      <w:r w:rsidRPr="00D332B7">
        <w:rPr>
          <w:b/>
        </w:rPr>
        <w:t>11. Planavimo procesą sudaro šie etapai:</w:t>
      </w:r>
    </w:p>
    <w:p w:rsidR="007D01E4" w:rsidRPr="00D332B7" w:rsidRDefault="007D01E4" w:rsidP="007D01E4">
      <w:pPr>
        <w:jc w:val="both"/>
      </w:pPr>
      <w:r w:rsidRPr="00D332B7">
        <w:tab/>
        <w:t xml:space="preserve">11.1. Parengiamasis etapas - planavimo tikslų ir uždavinių nustatymas, planavimo programos parengimas, paskelbimas, planavimo sąlygų gavimas, viešojo pirkimo vykdymas. </w:t>
      </w:r>
    </w:p>
    <w:p w:rsidR="007D01E4" w:rsidRPr="00D332B7" w:rsidRDefault="007D01E4" w:rsidP="007D01E4">
      <w:pPr>
        <w:jc w:val="both"/>
      </w:pPr>
      <w:r w:rsidRPr="00D332B7">
        <w:tab/>
        <w:t>11.2. Rengimo etapas - e</w:t>
      </w:r>
      <w:r w:rsidRPr="00D332B7">
        <w:rPr>
          <w:bCs/>
        </w:rPr>
        <w:t>samos būklės įvertinimas, bendrųjų sprendinių formavimas.</w:t>
      </w:r>
    </w:p>
    <w:p w:rsidR="007D01E4" w:rsidRPr="00D332B7" w:rsidRDefault="007D01E4" w:rsidP="007D01E4">
      <w:pPr>
        <w:jc w:val="both"/>
      </w:pPr>
      <w:r w:rsidRPr="00D332B7">
        <w:tab/>
        <w:t>11.3. Baigiamasis etapas - parengto specialiojo teritorijų planavimo dokumento sprendinių viešinimas, derinimas, tikrinimas teritorijų planavimo valstybinę priežiūrą atliekančioje institucijoje, tvirtinimas ir registravimas Lietuvos Respublikos teritorijų planavimo įstatymo nustatyta tvarka.</w:t>
      </w:r>
    </w:p>
    <w:p w:rsidR="007D01E4" w:rsidRPr="00D332B7" w:rsidRDefault="007D01E4" w:rsidP="007D01E4">
      <w:pPr>
        <w:jc w:val="both"/>
        <w:rPr>
          <w:b/>
          <w:bCs/>
        </w:rPr>
      </w:pPr>
      <w:r w:rsidRPr="00D332B7">
        <w:rPr>
          <w:b/>
        </w:rPr>
        <w:tab/>
        <w:t>12.</w:t>
      </w:r>
      <w:r w:rsidRPr="00D332B7">
        <w:t xml:space="preserve"> </w:t>
      </w:r>
      <w:r w:rsidRPr="00D332B7">
        <w:rPr>
          <w:b/>
          <w:bCs/>
        </w:rPr>
        <w:t>Strateginio pasekmių aplinkai vertinimo (SPAV) atranka ir vertinimas</w:t>
      </w:r>
      <w:r w:rsidRPr="00D332B7">
        <w:t>(jei toks bus reikalingas)</w:t>
      </w:r>
      <w:r w:rsidRPr="00D332B7">
        <w:rPr>
          <w:b/>
          <w:bCs/>
        </w:rPr>
        <w:t>:</w:t>
      </w:r>
    </w:p>
    <w:p w:rsidR="007D01E4" w:rsidRPr="00D332B7" w:rsidRDefault="007D01E4" w:rsidP="007D01E4">
      <w:pPr>
        <w:jc w:val="both"/>
      </w:pPr>
      <w:r w:rsidRPr="00D332B7">
        <w:rPr>
          <w:bCs/>
        </w:rPr>
        <w:tab/>
        <w:t>12.1.A</w:t>
      </w:r>
      <w:r w:rsidRPr="00D332B7">
        <w:t>tlieka plano rengėjas vadovaujantis Planų ir programų strateginio pasekmių aplinkai vertinimo tvarkos aprašo, patvirtinto Lietuvos Respublikos Vyriausybės 2004-08-18 nutarimu Nr. 967 „Dėl Planų ir programų strateginio pasekmių aplinkai vertinimo tvarkos aprašo patvirtinimo“, nuostatomis.</w:t>
      </w:r>
    </w:p>
    <w:p w:rsidR="007D01E4" w:rsidRPr="00D332B7" w:rsidRDefault="007D01E4" w:rsidP="007D01E4">
      <w:pPr>
        <w:jc w:val="both"/>
      </w:pPr>
      <w:r w:rsidRPr="00D332B7">
        <w:rPr>
          <w:b/>
        </w:rPr>
        <w:tab/>
        <w:t xml:space="preserve">13. Koncepcijos rengimas – </w:t>
      </w:r>
      <w:r w:rsidRPr="00D332B7">
        <w:t>specialiojo plano koncepcija nerengiama.</w:t>
      </w:r>
    </w:p>
    <w:p w:rsidR="007D01E4" w:rsidRPr="00D332B7" w:rsidRDefault="007D01E4" w:rsidP="007D01E4">
      <w:pPr>
        <w:jc w:val="both"/>
      </w:pPr>
      <w:r w:rsidRPr="00D332B7">
        <w:rPr>
          <w:b/>
        </w:rPr>
        <w:tab/>
        <w:t>14.</w:t>
      </w:r>
      <w:r w:rsidRPr="00D332B7">
        <w:t xml:space="preserve"> </w:t>
      </w:r>
      <w:r w:rsidRPr="00D332B7">
        <w:rPr>
          <w:b/>
          <w:bCs/>
        </w:rPr>
        <w:t>Planavimo rengimo terminas –</w:t>
      </w:r>
      <w:r w:rsidR="00062ECE">
        <w:t xml:space="preserve"> atlikimo terminas 8</w:t>
      </w:r>
      <w:r w:rsidRPr="00D332B7">
        <w:t xml:space="preserve"> mėnesiai nuo sutarties įsigaliojimo dienos su galimybe pratęsti sutartį vieną kartą vieno  mėnesio laikotarpiui. </w:t>
      </w:r>
    </w:p>
    <w:p w:rsidR="007D01E4" w:rsidRPr="00D332B7" w:rsidRDefault="007D01E4" w:rsidP="007D01E4">
      <w:pPr>
        <w:jc w:val="both"/>
      </w:pPr>
      <w:r w:rsidRPr="00D332B7">
        <w:rPr>
          <w:b/>
        </w:rPr>
        <w:tab/>
        <w:t>15. Planavimo sąlygos</w:t>
      </w:r>
      <w:r w:rsidRPr="00D332B7">
        <w:t xml:space="preserve"> – pagal parengtas ir išduotas planavimo sąlygas.</w:t>
      </w:r>
    </w:p>
    <w:p w:rsidR="007D01E4" w:rsidRPr="00D332B7" w:rsidRDefault="007D01E4" w:rsidP="007D01E4">
      <w:pPr>
        <w:jc w:val="both"/>
        <w:rPr>
          <w:b/>
        </w:rPr>
      </w:pPr>
      <w:r w:rsidRPr="00D332B7">
        <w:rPr>
          <w:b/>
        </w:rPr>
        <w:tab/>
        <w:t>16. Bendrieji reikalavimai teritorijų planavimo dokumentui ir jo rengimui:</w:t>
      </w:r>
    </w:p>
    <w:p w:rsidR="00A256E3" w:rsidRDefault="007D01E4" w:rsidP="007D01E4">
      <w:pPr>
        <w:jc w:val="both"/>
      </w:pPr>
      <w:r w:rsidRPr="00D332B7">
        <w:tab/>
        <w:t xml:space="preserve">16.1. Pakeistas teritorijų planavimo dokumentas rengiamas 3 egzemplioriais, </w:t>
      </w:r>
      <w:r w:rsidR="00A256E3">
        <w:t>pat</w:t>
      </w:r>
      <w:r w:rsidRPr="00D332B7">
        <w:t xml:space="preserve">eikiami </w:t>
      </w:r>
      <w:r w:rsidR="00A256E3">
        <w:t xml:space="preserve">3 </w:t>
      </w:r>
      <w:r w:rsidRPr="00D332B7">
        <w:t>egzemplioriai elektroninėje versijoje</w:t>
      </w:r>
      <w:r w:rsidR="00A256E3">
        <w:t xml:space="preserve">, taip pat pateikiamas specialiojo plano sprendinių GIS sluoksnis </w:t>
      </w:r>
      <w:r w:rsidR="00A256E3">
        <w:rPr>
          <w:i/>
        </w:rPr>
        <w:t>sha</w:t>
      </w:r>
      <w:r w:rsidR="00A256E3" w:rsidRPr="00A256E3">
        <w:rPr>
          <w:i/>
        </w:rPr>
        <w:t>pe</w:t>
      </w:r>
      <w:r w:rsidR="00A256E3">
        <w:t xml:space="preserve"> formatu.</w:t>
      </w:r>
    </w:p>
    <w:p w:rsidR="007D01E4" w:rsidRPr="00D332B7" w:rsidRDefault="007D01E4" w:rsidP="007D01E4">
      <w:pPr>
        <w:jc w:val="both"/>
      </w:pPr>
      <w:r w:rsidRPr="00D332B7">
        <w:tab/>
        <w:t>16.2. Pakeistą teritorijų planavimo dokumentą sudaro aiškinamasis raštas (tekstinė dalis), brėžiniai (grafinė dalis) ir planavimo procedūrų dokumentai.</w:t>
      </w:r>
    </w:p>
    <w:p w:rsidR="007D01E4" w:rsidRPr="00D332B7" w:rsidRDefault="007D01E4" w:rsidP="007D01E4">
      <w:pPr>
        <w:jc w:val="both"/>
      </w:pPr>
      <w:r w:rsidRPr="00D332B7">
        <w:lastRenderedPageBreak/>
        <w:tab/>
        <w:t>16.3. Specialiojo plano brėžiniai rengiami Lietuvos 1994 metų koordinačių sistemoje</w:t>
      </w:r>
      <w:r w:rsidR="00A256E3">
        <w:t xml:space="preserve"> (LKS-94)</w:t>
      </w:r>
      <w:r w:rsidRPr="00D332B7">
        <w:t>, patvirtintoje Lietuvos Respublikos Vyriausybės 1994 m. rugsėjo 30 d. nutarimu Nr. 936 „Dėl Lietuvos geodezinių koordinačių sistemos įvedimo“.</w:t>
      </w:r>
    </w:p>
    <w:p w:rsidR="00A256E3" w:rsidRDefault="007D01E4" w:rsidP="007D01E4">
      <w:pPr>
        <w:jc w:val="both"/>
      </w:pPr>
      <w:r w:rsidRPr="00D332B7">
        <w:tab/>
        <w:t>16.4. Specialiojo plano keitimo sprendiniai rengiami ant naujausio georeferencinio pagrindo kadastro erdvinių duomenų rinkinio (GRPK, M 1:10 000) ir skaitmeninio ortofotografinio žemėlapio. Specialiojo plano pagrindinį brėžinį parengti M 1:10 000 (plano rengėjas mastelį parenka pagal situaciją, kad tinkamai būtų įvykdyti planavimo tikslai ir uždaviniai)</w:t>
      </w:r>
      <w:r w:rsidR="00A256E3">
        <w:t>.</w:t>
      </w:r>
    </w:p>
    <w:p w:rsidR="007D01E4" w:rsidRPr="00D332B7" w:rsidRDefault="007D01E4" w:rsidP="007D01E4">
      <w:pPr>
        <w:jc w:val="both"/>
      </w:pPr>
      <w:r w:rsidRPr="00D332B7">
        <w:tab/>
        <w:t>16.5. Pakeisto teritorijų planavimo dokumento sprendiniai turi neprieštarauti Lietuvos Respublikos įstatymams, reglamentuojantiems teritorijų planavimą.</w:t>
      </w:r>
    </w:p>
    <w:p w:rsidR="007D01E4" w:rsidRPr="00D332B7" w:rsidRDefault="007D01E4" w:rsidP="007D01E4">
      <w:pPr>
        <w:jc w:val="both"/>
        <w:rPr>
          <w:b/>
        </w:rPr>
      </w:pPr>
      <w:r w:rsidRPr="00D332B7">
        <w:rPr>
          <w:b/>
        </w:rPr>
        <w:tab/>
        <w:t>17. Teritorijų planavimo dokumento viešinimo procedūrų užtikrinimas:</w:t>
      </w:r>
    </w:p>
    <w:p w:rsidR="007D01E4" w:rsidRPr="00D332B7" w:rsidRDefault="007D01E4" w:rsidP="007D01E4">
      <w:pPr>
        <w:jc w:val="both"/>
      </w:pPr>
      <w:r w:rsidRPr="00D332B7">
        <w:tab/>
        <w:t>17.1. Planavimo viešinimą užtikrina planavimo organizatorius (padedant plano rengėjui) vadovaudamasis Teritorijų planavimo įstatymu, Visuomenės informavimo, konsultavimo ir dalyvavimo priimant sprendimus dėl teritorijų planavimo nuostatų, patvirtintų Lietuvos Respublikos Vyriausybės 1996 m. rugsėjo 18 d. nutarimu Nr. 1079 „Dėl Visuomenės informavimo, konsultavimo ir dalyvavimo priimant sprendimus dėl teritorijų planavimo nuostatų patvirtinimo“ ir kitų teisės aktų nuostatomis.</w:t>
      </w:r>
    </w:p>
    <w:p w:rsidR="007D01E4" w:rsidRPr="00D332B7" w:rsidRDefault="007D01E4" w:rsidP="007D01E4">
      <w:pPr>
        <w:jc w:val="both"/>
      </w:pPr>
      <w:r w:rsidRPr="00D332B7">
        <w:tab/>
        <w:t>17.2. Visuomenės dalyvavimo ataskaitą parengia ir projekto viešinimą užtikrinančias procedūras (skelbimai, atsakymai į pasiūlymus ir skundų nagrinėjimas) atlieka plano rengėjas kartu su planavimo organizatoriumi.</w:t>
      </w:r>
    </w:p>
    <w:p w:rsidR="007D01E4" w:rsidRPr="00D332B7" w:rsidRDefault="007D01E4" w:rsidP="007D01E4">
      <w:pPr>
        <w:jc w:val="both"/>
      </w:pPr>
      <w:r w:rsidRPr="00D332B7">
        <w:tab/>
        <w:t>17.3. Planavimo darbų programa dokumento rengimo metu gali būti pakeista ir (ar) papildyta.</w:t>
      </w:r>
    </w:p>
    <w:p w:rsidR="007D01E4" w:rsidRPr="00D332B7" w:rsidRDefault="007D01E4" w:rsidP="007D01E4">
      <w:pPr>
        <w:jc w:val="both"/>
      </w:pPr>
    </w:p>
    <w:p w:rsidR="007D01E4" w:rsidRPr="00D332B7" w:rsidRDefault="004D78E3" w:rsidP="007D01E4">
      <w:pPr>
        <w:jc w:val="both"/>
      </w:pPr>
      <w:r>
        <w:tab/>
      </w:r>
      <w:r>
        <w:tab/>
        <w:t>_____________________</w:t>
      </w:r>
    </w:p>
    <w:p w:rsidR="007D01E4" w:rsidRPr="00D332B7" w:rsidRDefault="007D01E4" w:rsidP="007D01E4">
      <w:pPr>
        <w:jc w:val="both"/>
      </w:pPr>
    </w:p>
    <w:sectPr w:rsidR="007D01E4" w:rsidRPr="00D332B7" w:rsidSect="00E86C85">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5F58"/>
    <w:multiLevelType w:val="hybridMultilevel"/>
    <w:tmpl w:val="38440F8C"/>
    <w:lvl w:ilvl="0" w:tplc="BF8CDEAE">
      <w:start w:val="1"/>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41DD6E7F"/>
    <w:multiLevelType w:val="hybridMultilevel"/>
    <w:tmpl w:val="492A60F6"/>
    <w:lvl w:ilvl="0" w:tplc="BCAA3986">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compat/>
  <w:rsids>
    <w:rsidRoot w:val="000A1563"/>
    <w:rsid w:val="00047F1C"/>
    <w:rsid w:val="00062ECE"/>
    <w:rsid w:val="000A1563"/>
    <w:rsid w:val="00133654"/>
    <w:rsid w:val="001707B5"/>
    <w:rsid w:val="00177F2C"/>
    <w:rsid w:val="003E51DA"/>
    <w:rsid w:val="004D78E3"/>
    <w:rsid w:val="0066210C"/>
    <w:rsid w:val="00675BCB"/>
    <w:rsid w:val="006B6C29"/>
    <w:rsid w:val="00707A9E"/>
    <w:rsid w:val="00722FB6"/>
    <w:rsid w:val="007573B1"/>
    <w:rsid w:val="007D01E4"/>
    <w:rsid w:val="008400F8"/>
    <w:rsid w:val="00851CD0"/>
    <w:rsid w:val="008C3E43"/>
    <w:rsid w:val="0092341A"/>
    <w:rsid w:val="009339DD"/>
    <w:rsid w:val="009D1805"/>
    <w:rsid w:val="009F662D"/>
    <w:rsid w:val="00A256E3"/>
    <w:rsid w:val="00A3220C"/>
    <w:rsid w:val="00CA264D"/>
    <w:rsid w:val="00CB6D8C"/>
    <w:rsid w:val="00D32C2C"/>
    <w:rsid w:val="00D518F5"/>
    <w:rsid w:val="00DE2E0B"/>
    <w:rsid w:val="00DF59C9"/>
    <w:rsid w:val="00E86C85"/>
    <w:rsid w:val="00E92BDC"/>
    <w:rsid w:val="00F93B0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15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A1563"/>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156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0A15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1563"/>
    <w:rPr>
      <w:rFonts w:ascii="Tahoma" w:eastAsia="Times New Roman" w:hAnsi="Tahoma" w:cs="Tahoma"/>
      <w:sz w:val="16"/>
      <w:szCs w:val="16"/>
    </w:rPr>
  </w:style>
  <w:style w:type="paragraph" w:styleId="Sraopastraipa">
    <w:name w:val="List Paragraph"/>
    <w:basedOn w:val="prastasis"/>
    <w:uiPriority w:val="34"/>
    <w:qFormat/>
    <w:rsid w:val="009D1805"/>
    <w:pPr>
      <w:ind w:left="720"/>
      <w:contextualSpacing/>
    </w:pPr>
  </w:style>
  <w:style w:type="character" w:styleId="Hipersaitas">
    <w:name w:val="Hyperlink"/>
    <w:rsid w:val="00F93B06"/>
    <w:rPr>
      <w:color w:val="000000"/>
      <w:u w:val="single"/>
    </w:rPr>
  </w:style>
  <w:style w:type="paragraph" w:customStyle="1" w:styleId="Default">
    <w:name w:val="Default"/>
    <w:rsid w:val="007D01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pdr.lt" TargetMode="External"/><Relationship Id="rId5" Type="http://schemas.openxmlformats.org/officeDocument/2006/relationships/hyperlink" Target="http://www.tpd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7085</Words>
  <Characters>4040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MANO</cp:lastModifiedBy>
  <cp:revision>24</cp:revision>
  <dcterms:created xsi:type="dcterms:W3CDTF">2020-04-21T07:48:00Z</dcterms:created>
  <dcterms:modified xsi:type="dcterms:W3CDTF">2021-02-05T09:08:00Z</dcterms:modified>
</cp:coreProperties>
</file>